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5E0" w:rsidRPr="00D025E0" w:rsidRDefault="00D025E0" w:rsidP="00D025E0">
      <w:pPr>
        <w:autoSpaceDE w:val="0"/>
        <w:autoSpaceDN w:val="0"/>
        <w:adjustRightInd w:val="0"/>
        <w:spacing w:line="480" w:lineRule="auto"/>
        <w:ind w:firstLineChars="200" w:firstLine="480"/>
        <w:rPr>
          <w:rFonts w:ascii="Arial" w:eastAsia="TimesNewRomanPSMT" w:hAnsi="Arial" w:cs="Arial"/>
          <w:b/>
          <w:kern w:val="0"/>
          <w:sz w:val="24"/>
          <w:szCs w:val="24"/>
        </w:rPr>
      </w:pPr>
      <w:r w:rsidRPr="00D025E0">
        <w:rPr>
          <w:rFonts w:ascii="Arial" w:eastAsia="TimesNewRomanPSMT" w:hAnsi="Arial" w:cs="Arial" w:hint="eastAsia"/>
          <w:b/>
          <w:kern w:val="0"/>
          <w:sz w:val="24"/>
          <w:szCs w:val="24"/>
        </w:rPr>
        <w:t>Supp</w:t>
      </w:r>
      <w:r w:rsidRPr="00D025E0">
        <w:rPr>
          <w:rFonts w:ascii="Arial" w:eastAsia="TimesNewRomanPSMT" w:hAnsi="Arial" w:cs="Arial"/>
          <w:b/>
          <w:kern w:val="0"/>
          <w:sz w:val="24"/>
          <w:szCs w:val="24"/>
        </w:rPr>
        <w:t>lementary Figure</w:t>
      </w:r>
      <w:r w:rsidRPr="00D025E0">
        <w:rPr>
          <w:rFonts w:ascii="Arial" w:eastAsia="TimesNewRomanPSMT" w:hAnsi="Arial" w:cs="Arial"/>
          <w:b/>
          <w:kern w:val="0"/>
          <w:sz w:val="24"/>
          <w:szCs w:val="24"/>
        </w:rPr>
        <w:t xml:space="preserve"> Legends</w:t>
      </w:r>
    </w:p>
    <w:p w:rsidR="00D025E0" w:rsidRPr="006F5AC0" w:rsidRDefault="00D025E0" w:rsidP="00D025E0">
      <w:pPr>
        <w:autoSpaceDE w:val="0"/>
        <w:autoSpaceDN w:val="0"/>
        <w:adjustRightInd w:val="0"/>
        <w:spacing w:line="480" w:lineRule="auto"/>
        <w:ind w:firstLineChars="200" w:firstLine="480"/>
        <w:rPr>
          <w:rFonts w:ascii="Arial" w:hAnsi="Arial" w:cs="Arial"/>
          <w:kern w:val="0"/>
          <w:sz w:val="24"/>
          <w:szCs w:val="24"/>
        </w:rPr>
      </w:pPr>
      <w:r w:rsidRPr="00D47275">
        <w:rPr>
          <w:rFonts w:ascii="Arial" w:eastAsia="TimesNewRomanPSMT" w:hAnsi="Arial" w:cs="Arial" w:hint="eastAsia"/>
          <w:b/>
          <w:kern w:val="0"/>
          <w:sz w:val="24"/>
          <w:szCs w:val="24"/>
        </w:rPr>
        <w:t>Supp</w:t>
      </w:r>
      <w:r w:rsidRPr="00D47275">
        <w:rPr>
          <w:rFonts w:ascii="Arial" w:eastAsia="TimesNewRomanPSMT" w:hAnsi="Arial" w:cs="Arial"/>
          <w:b/>
          <w:kern w:val="0"/>
          <w:sz w:val="24"/>
          <w:szCs w:val="24"/>
        </w:rPr>
        <w:t xml:space="preserve">lementary Figure S1 </w:t>
      </w:r>
      <w:r w:rsidRPr="006F5AC0">
        <w:rPr>
          <w:rFonts w:ascii="Arial" w:hAnsi="Arial" w:cs="Arial"/>
          <w:kern w:val="0"/>
          <w:sz w:val="24"/>
          <w:szCs w:val="24"/>
        </w:rPr>
        <w:t>To validat</w:t>
      </w:r>
      <w:bookmarkStart w:id="0" w:name="_GoBack"/>
      <w:bookmarkEnd w:id="0"/>
      <w:r w:rsidRPr="006F5AC0">
        <w:rPr>
          <w:rFonts w:ascii="Arial" w:hAnsi="Arial" w:cs="Arial"/>
          <w:kern w:val="0"/>
          <w:sz w:val="24"/>
          <w:szCs w:val="24"/>
        </w:rPr>
        <w:t>e the specificity of the NRBP1</w:t>
      </w:r>
      <w:r w:rsidRPr="006F5AC0">
        <w:rPr>
          <w:rFonts w:ascii="Arial" w:hAnsi="Arial" w:cs="Arial" w:hint="eastAsia"/>
          <w:kern w:val="0"/>
          <w:sz w:val="24"/>
          <w:szCs w:val="24"/>
        </w:rPr>
        <w:t xml:space="preserve"> a</w:t>
      </w:r>
      <w:r w:rsidRPr="006F5AC0">
        <w:rPr>
          <w:rFonts w:ascii="Arial" w:hAnsi="Arial" w:cs="Arial"/>
          <w:kern w:val="0"/>
          <w:sz w:val="24"/>
          <w:szCs w:val="24"/>
        </w:rPr>
        <w:t xml:space="preserve">ntibody, sections from stomach tissue with robust detectable NRBP1 protein and sections from thymus with low NRBP1 expression </w:t>
      </w:r>
      <w:r>
        <w:rPr>
          <w:rFonts w:ascii="Arial" w:hAnsi="Arial" w:cs="Arial"/>
          <w:kern w:val="0"/>
          <w:sz w:val="24"/>
          <w:szCs w:val="24"/>
        </w:rPr>
        <w:t>were performed IHC. The p</w:t>
      </w:r>
      <w:r w:rsidRPr="006F5AC0">
        <w:rPr>
          <w:rFonts w:ascii="Arial" w:hAnsi="Arial" w:cs="Arial"/>
          <w:kern w:val="0"/>
          <w:sz w:val="24"/>
          <w:szCs w:val="24"/>
        </w:rPr>
        <w:t xml:space="preserve">ositive control sections were incubated with NRBP1 antibody. </w:t>
      </w:r>
      <w:r w:rsidRPr="006F5AC0">
        <w:rPr>
          <w:rFonts w:ascii="Arial" w:hAnsi="Arial" w:cs="Arial" w:hint="eastAsia"/>
          <w:kern w:val="0"/>
          <w:sz w:val="24"/>
          <w:szCs w:val="24"/>
        </w:rPr>
        <w:t xml:space="preserve">The negative control sections were incubated with </w:t>
      </w:r>
      <w:r w:rsidRPr="006F5AC0">
        <w:rPr>
          <w:rFonts w:ascii="Arial" w:hAnsi="Arial" w:cs="Arial"/>
          <w:kern w:val="0"/>
          <w:sz w:val="24"/>
          <w:szCs w:val="24"/>
        </w:rPr>
        <w:t xml:space="preserve">a normal mouse </w:t>
      </w:r>
      <w:proofErr w:type="spellStart"/>
      <w:r w:rsidRPr="006F5AC0">
        <w:rPr>
          <w:rFonts w:ascii="Arial" w:hAnsi="Arial" w:cs="Arial"/>
          <w:kern w:val="0"/>
          <w:sz w:val="24"/>
          <w:szCs w:val="24"/>
        </w:rPr>
        <w:t>IgG</w:t>
      </w:r>
      <w:proofErr w:type="spellEnd"/>
      <w:r w:rsidRPr="006F5AC0">
        <w:rPr>
          <w:rFonts w:ascii="Arial" w:hAnsi="Arial" w:cs="Arial"/>
          <w:kern w:val="0"/>
          <w:sz w:val="24"/>
          <w:szCs w:val="24"/>
        </w:rPr>
        <w:t xml:space="preserve"> to replace</w:t>
      </w:r>
      <w:r w:rsidRPr="006F5AC0">
        <w:rPr>
          <w:rFonts w:ascii="Arial" w:hAnsi="Arial" w:cs="Arial" w:hint="eastAsia"/>
          <w:kern w:val="0"/>
          <w:sz w:val="24"/>
          <w:szCs w:val="24"/>
        </w:rPr>
        <w:t xml:space="preserve"> the primary antibody</w:t>
      </w:r>
      <w:r>
        <w:rPr>
          <w:rFonts w:ascii="Arial" w:hAnsi="Arial" w:cs="Arial"/>
          <w:kern w:val="0"/>
          <w:sz w:val="24"/>
          <w:szCs w:val="24"/>
        </w:rPr>
        <w:t>.</w:t>
      </w:r>
    </w:p>
    <w:p w:rsidR="00D025E0" w:rsidRDefault="00D025E0" w:rsidP="00D025E0">
      <w:pPr>
        <w:widowControl/>
        <w:spacing w:after="240" w:line="480" w:lineRule="auto"/>
        <w:ind w:firstLineChars="200" w:firstLine="480"/>
        <w:jc w:val="left"/>
        <w:rPr>
          <w:rFonts w:ascii="Arial" w:hAnsi="Arial" w:cs="Arial"/>
          <w:kern w:val="0"/>
          <w:sz w:val="24"/>
          <w:szCs w:val="24"/>
        </w:rPr>
      </w:pPr>
      <w:proofErr w:type="gramStart"/>
      <w:r w:rsidRPr="00D47275">
        <w:rPr>
          <w:rFonts w:ascii="Arial" w:eastAsia="TimesNewRomanPSMT" w:hAnsi="Arial" w:cs="Arial" w:hint="eastAsia"/>
          <w:b/>
          <w:kern w:val="0"/>
          <w:sz w:val="24"/>
          <w:szCs w:val="24"/>
        </w:rPr>
        <w:t>Supp</w:t>
      </w:r>
      <w:r>
        <w:rPr>
          <w:rFonts w:ascii="Arial" w:eastAsia="TimesNewRomanPSMT" w:hAnsi="Arial" w:cs="Arial"/>
          <w:b/>
          <w:kern w:val="0"/>
          <w:sz w:val="24"/>
          <w:szCs w:val="24"/>
        </w:rPr>
        <w:t xml:space="preserve">lementary Figure S2 </w:t>
      </w:r>
      <w:r>
        <w:rPr>
          <w:rFonts w:ascii="Arial" w:hAnsi="Arial" w:cs="Arial"/>
          <w:kern w:val="0"/>
          <w:sz w:val="24"/>
          <w:szCs w:val="24"/>
        </w:rPr>
        <w:t>IHC analysis for 3</w:t>
      </w:r>
      <w:r>
        <w:rPr>
          <w:rFonts w:ascii="Arial" w:hAnsi="Arial" w:cs="Arial" w:hint="eastAsia"/>
          <w:kern w:val="0"/>
          <w:sz w:val="24"/>
          <w:szCs w:val="24"/>
        </w:rPr>
        <w:t>4</w:t>
      </w:r>
      <w:r w:rsidRPr="006F5AC0"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>CRC samples.</w:t>
      </w:r>
      <w:proofErr w:type="gramEnd"/>
    </w:p>
    <w:p w:rsidR="00D025E0" w:rsidRPr="006F5AC0" w:rsidRDefault="00D025E0" w:rsidP="00D025E0">
      <w:pPr>
        <w:widowControl/>
        <w:spacing w:after="240" w:line="480" w:lineRule="auto"/>
        <w:ind w:firstLineChars="200" w:firstLine="480"/>
        <w:rPr>
          <w:rFonts w:ascii="Arial" w:hAnsi="Arial" w:cs="Arial"/>
          <w:kern w:val="0"/>
          <w:sz w:val="24"/>
          <w:szCs w:val="24"/>
        </w:rPr>
      </w:pPr>
      <w:r w:rsidRPr="00D47275">
        <w:rPr>
          <w:rFonts w:ascii="Arial" w:eastAsia="TimesNewRomanPSMT" w:hAnsi="Arial" w:cs="Arial" w:hint="eastAsia"/>
          <w:b/>
          <w:kern w:val="0"/>
          <w:sz w:val="24"/>
          <w:szCs w:val="24"/>
        </w:rPr>
        <w:t>Supp</w:t>
      </w:r>
      <w:r>
        <w:rPr>
          <w:rFonts w:ascii="Arial" w:eastAsia="TimesNewRomanPSMT" w:hAnsi="Arial" w:cs="Arial"/>
          <w:b/>
          <w:kern w:val="0"/>
          <w:sz w:val="24"/>
          <w:szCs w:val="24"/>
        </w:rPr>
        <w:t>lementary Figure S</w:t>
      </w:r>
      <w:r>
        <w:rPr>
          <w:rFonts w:ascii="Arial" w:eastAsia="TimesNewRomanPSMT" w:hAnsi="Arial" w:cs="Arial" w:hint="eastAsia"/>
          <w:b/>
          <w:kern w:val="0"/>
          <w:sz w:val="24"/>
          <w:szCs w:val="24"/>
        </w:rPr>
        <w:t>3</w:t>
      </w:r>
      <w:r>
        <w:rPr>
          <w:rFonts w:ascii="Arial" w:eastAsia="TimesNewRomanPSMT" w:hAnsi="Arial" w:cs="Arial"/>
          <w:b/>
          <w:kern w:val="0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color w:val="000000"/>
          <w:kern w:val="0"/>
          <w:sz w:val="24"/>
          <w:szCs w:val="24"/>
        </w:rPr>
        <w:t>The</w:t>
      </w:r>
      <w:proofErr w:type="gramEnd"/>
      <w:r>
        <w:rPr>
          <w:rFonts w:ascii="Arial" w:hAnsi="Arial" w:cs="Arial"/>
          <w:color w:val="000000"/>
          <w:kern w:val="0"/>
          <w:sz w:val="24"/>
          <w:szCs w:val="24"/>
        </w:rPr>
        <w:t xml:space="preserve"> NRBP1 expression levels were evaluated by western blot in normal colon tissue, RKO cell and SW480 cell and HCT116 cell transduced with lenti-NRBP1.</w:t>
      </w:r>
    </w:p>
    <w:p w:rsidR="009103A8" w:rsidRDefault="009103A8"/>
    <w:sectPr w:rsidR="009103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NewRomanPSMT">
    <w:altName w:val="Arial Unicode MS"/>
    <w:charset w:val="86"/>
    <w:family w:val="auto"/>
    <w:pitch w:val="default"/>
    <w:sig w:usb0="00000000" w:usb1="00000000" w:usb2="00000010" w:usb3="00000000" w:csb0="0006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5E0"/>
    <w:rsid w:val="00823F62"/>
    <w:rsid w:val="009103A8"/>
    <w:rsid w:val="00947239"/>
    <w:rsid w:val="00C5137F"/>
    <w:rsid w:val="00D0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5E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5E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May, Mercy</dc:creator>
  <cp:lastModifiedBy>May, Mercy</cp:lastModifiedBy>
  <cp:revision>2</cp:revision>
  <dcterms:created xsi:type="dcterms:W3CDTF">2018-02-19T15:57:00Z</dcterms:created>
  <dcterms:modified xsi:type="dcterms:W3CDTF">2018-02-19T15:57:00Z</dcterms:modified>
</cp:coreProperties>
</file>