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8B6" w:rsidRPr="00615B16" w:rsidRDefault="00615B16">
      <w:pPr>
        <w:spacing w:after="240" w:line="480" w:lineRule="auto"/>
        <w:rPr>
          <w:b/>
          <w:bCs/>
          <w:sz w:val="24"/>
        </w:rPr>
      </w:pPr>
      <w:r w:rsidRPr="00615B16">
        <w:rPr>
          <w:b/>
          <w:bCs/>
          <w:sz w:val="24"/>
        </w:rPr>
        <w:t>Supplementary Information</w:t>
      </w:r>
    </w:p>
    <w:p w:rsidR="004468B6" w:rsidRDefault="00615B16" w:rsidP="00AB7A56">
      <w:pPr>
        <w:adjustRightInd w:val="0"/>
        <w:snapToGrid w:val="0"/>
        <w:spacing w:line="480" w:lineRule="auto"/>
        <w:rPr>
          <w:rFonts w:hint="eastAsia"/>
          <w:kern w:val="0"/>
          <w:sz w:val="24"/>
        </w:rPr>
      </w:pPr>
      <w:r w:rsidRPr="00615B16">
        <w:rPr>
          <w:rFonts w:eastAsia="Times New Roman"/>
          <w:kern w:val="0"/>
          <w:sz w:val="24"/>
          <w:lang w:eastAsia="en-US"/>
        </w:rPr>
        <w:t xml:space="preserve">The Supplementary Information file contains </w:t>
      </w:r>
      <w:r w:rsidR="008A506D" w:rsidRPr="00615B16">
        <w:rPr>
          <w:rFonts w:eastAsia="Times New Roman"/>
          <w:kern w:val="0"/>
          <w:sz w:val="24"/>
          <w:lang w:eastAsia="en-US"/>
        </w:rPr>
        <w:t>Supplementary</w:t>
      </w:r>
      <w:r w:rsidR="008A506D" w:rsidRPr="00615B16">
        <w:rPr>
          <w:kern w:val="0"/>
          <w:sz w:val="24"/>
        </w:rPr>
        <w:t xml:space="preserve"> </w:t>
      </w:r>
      <w:r w:rsidR="008A506D">
        <w:rPr>
          <w:rFonts w:hint="eastAsia"/>
          <w:kern w:val="0"/>
          <w:sz w:val="24"/>
        </w:rPr>
        <w:t xml:space="preserve">Fig. </w:t>
      </w:r>
      <w:r w:rsidRPr="00615B16">
        <w:rPr>
          <w:kern w:val="0"/>
          <w:sz w:val="24"/>
        </w:rPr>
        <w:t>1</w:t>
      </w:r>
      <w:r w:rsidRPr="00615B16">
        <w:rPr>
          <w:rFonts w:eastAsia="Times New Roman"/>
          <w:kern w:val="0"/>
          <w:sz w:val="24"/>
          <w:lang w:eastAsia="en-US"/>
        </w:rPr>
        <w:t xml:space="preserve"> (BPIFB1 sensitized HONE1 cells to ionizing radiation);</w:t>
      </w:r>
      <w:r w:rsidRPr="00615B16">
        <w:rPr>
          <w:kern w:val="0"/>
          <w:sz w:val="24"/>
        </w:rPr>
        <w:t xml:space="preserve"> </w:t>
      </w:r>
      <w:r w:rsidR="008A506D" w:rsidRPr="00615B16">
        <w:rPr>
          <w:rFonts w:eastAsia="Times New Roman"/>
          <w:kern w:val="0"/>
          <w:sz w:val="24"/>
          <w:lang w:eastAsia="en-US"/>
        </w:rPr>
        <w:t>Supplementary</w:t>
      </w:r>
      <w:r w:rsidR="008A506D" w:rsidRPr="00615B16">
        <w:rPr>
          <w:kern w:val="0"/>
          <w:sz w:val="24"/>
        </w:rPr>
        <w:t xml:space="preserve"> </w:t>
      </w:r>
      <w:r w:rsidR="008A506D">
        <w:rPr>
          <w:rFonts w:hint="eastAsia"/>
          <w:kern w:val="0"/>
          <w:sz w:val="24"/>
        </w:rPr>
        <w:t xml:space="preserve">Fig. </w:t>
      </w:r>
      <w:r w:rsidRPr="00615B16">
        <w:rPr>
          <w:kern w:val="0"/>
          <w:sz w:val="24"/>
        </w:rPr>
        <w:t>2</w:t>
      </w:r>
      <w:r w:rsidRPr="00615B16">
        <w:rPr>
          <w:rFonts w:eastAsia="Times New Roman"/>
          <w:kern w:val="0"/>
          <w:sz w:val="24"/>
          <w:lang w:eastAsia="en-US"/>
        </w:rPr>
        <w:t xml:space="preserve"> (BPIFB1 regulated HONE1 cell </w:t>
      </w:r>
      <w:proofErr w:type="spellStart"/>
      <w:r w:rsidRPr="00615B16">
        <w:rPr>
          <w:rFonts w:eastAsia="Times New Roman"/>
          <w:kern w:val="0"/>
          <w:sz w:val="24"/>
          <w:lang w:eastAsia="en-US"/>
        </w:rPr>
        <w:t>radioresponse</w:t>
      </w:r>
      <w:proofErr w:type="spellEnd"/>
      <w:r w:rsidRPr="00615B16">
        <w:rPr>
          <w:rFonts w:eastAsia="Times New Roman"/>
          <w:kern w:val="0"/>
          <w:sz w:val="24"/>
          <w:lang w:eastAsia="en-US"/>
        </w:rPr>
        <w:t xml:space="preserve"> by interacting with VTN); </w:t>
      </w:r>
      <w:r w:rsidR="008A506D" w:rsidRPr="00615B16">
        <w:rPr>
          <w:rFonts w:eastAsia="Times New Roman"/>
          <w:kern w:val="0"/>
          <w:sz w:val="24"/>
          <w:lang w:eastAsia="en-US"/>
        </w:rPr>
        <w:t>Supplementary</w:t>
      </w:r>
      <w:r w:rsidR="008A506D" w:rsidRPr="00615B16">
        <w:rPr>
          <w:kern w:val="0"/>
          <w:sz w:val="24"/>
        </w:rPr>
        <w:t xml:space="preserve"> </w:t>
      </w:r>
      <w:r w:rsidR="008A506D">
        <w:rPr>
          <w:rFonts w:hint="eastAsia"/>
          <w:kern w:val="0"/>
          <w:sz w:val="24"/>
        </w:rPr>
        <w:t xml:space="preserve">Fig. </w:t>
      </w:r>
      <w:r w:rsidRPr="00615B16">
        <w:rPr>
          <w:kern w:val="0"/>
          <w:sz w:val="24"/>
        </w:rPr>
        <w:t>3</w:t>
      </w:r>
      <w:r w:rsidRPr="00615B16">
        <w:rPr>
          <w:rFonts w:eastAsia="Times New Roman"/>
          <w:kern w:val="0"/>
          <w:sz w:val="24"/>
          <w:lang w:eastAsia="en-US"/>
        </w:rPr>
        <w:t xml:space="preserve"> </w:t>
      </w:r>
      <w:r w:rsidRPr="00615B16">
        <w:rPr>
          <w:kern w:val="0"/>
          <w:sz w:val="24"/>
        </w:rPr>
        <w:t>(</w:t>
      </w:r>
      <w:r w:rsidRPr="00615B16">
        <w:rPr>
          <w:rFonts w:eastAsia="Times New Roman"/>
          <w:kern w:val="0"/>
          <w:sz w:val="24"/>
          <w:lang w:eastAsia="en-US"/>
        </w:rPr>
        <w:t xml:space="preserve">BPIFB1 </w:t>
      </w:r>
      <w:r w:rsidRPr="00615B16">
        <w:rPr>
          <w:kern w:val="0"/>
          <w:sz w:val="24"/>
        </w:rPr>
        <w:t>inhibited</w:t>
      </w:r>
      <w:r w:rsidRPr="00615B16">
        <w:rPr>
          <w:rFonts w:eastAsia="Times New Roman"/>
          <w:kern w:val="0"/>
          <w:sz w:val="24"/>
          <w:lang w:eastAsia="en-US"/>
        </w:rPr>
        <w:t xml:space="preserve"> </w:t>
      </w:r>
      <w:r w:rsidRPr="00615B16">
        <w:rPr>
          <w:kern w:val="0"/>
          <w:sz w:val="24"/>
        </w:rPr>
        <w:t xml:space="preserve">VTN-induced </w:t>
      </w:r>
      <w:proofErr w:type="spellStart"/>
      <w:r w:rsidRPr="00615B16">
        <w:rPr>
          <w:rFonts w:eastAsia="Times New Roman"/>
          <w:kern w:val="0"/>
          <w:sz w:val="24"/>
          <w:lang w:eastAsia="en-US"/>
        </w:rPr>
        <w:t>radio</w:t>
      </w:r>
      <w:r w:rsidRPr="00615B16">
        <w:rPr>
          <w:kern w:val="0"/>
          <w:sz w:val="24"/>
        </w:rPr>
        <w:t>resistance</w:t>
      </w:r>
      <w:proofErr w:type="spellEnd"/>
      <w:r w:rsidRPr="00615B16">
        <w:rPr>
          <w:kern w:val="0"/>
          <w:sz w:val="24"/>
        </w:rPr>
        <w:t xml:space="preserve"> of CNE2 cells after 6 </w:t>
      </w:r>
      <w:proofErr w:type="spellStart"/>
      <w:r w:rsidRPr="00615B16">
        <w:rPr>
          <w:kern w:val="0"/>
          <w:sz w:val="24"/>
        </w:rPr>
        <w:t>Gy</w:t>
      </w:r>
      <w:proofErr w:type="spellEnd"/>
      <w:r w:rsidRPr="00615B16">
        <w:rPr>
          <w:kern w:val="0"/>
          <w:sz w:val="24"/>
        </w:rPr>
        <w:t xml:space="preserve"> as a single dose or a daily dose of 2 </w:t>
      </w:r>
      <w:proofErr w:type="spellStart"/>
      <w:r w:rsidRPr="00615B16">
        <w:rPr>
          <w:kern w:val="0"/>
          <w:sz w:val="24"/>
        </w:rPr>
        <w:t>Gy</w:t>
      </w:r>
      <w:proofErr w:type="spellEnd"/>
      <w:r w:rsidRPr="00615B16">
        <w:rPr>
          <w:kern w:val="0"/>
          <w:sz w:val="24"/>
        </w:rPr>
        <w:t xml:space="preserve"> for 3 d); </w:t>
      </w:r>
      <w:r w:rsidR="008A506D" w:rsidRPr="00615B16">
        <w:rPr>
          <w:rFonts w:eastAsia="Times New Roman"/>
          <w:kern w:val="0"/>
          <w:sz w:val="24"/>
          <w:lang w:eastAsia="en-US"/>
        </w:rPr>
        <w:t>Supplementary</w:t>
      </w:r>
      <w:r w:rsidR="008A506D" w:rsidRPr="00615B16">
        <w:rPr>
          <w:kern w:val="0"/>
          <w:sz w:val="24"/>
        </w:rPr>
        <w:t xml:space="preserve"> </w:t>
      </w:r>
      <w:r w:rsidR="008A506D">
        <w:rPr>
          <w:rFonts w:hint="eastAsia"/>
          <w:kern w:val="0"/>
          <w:sz w:val="24"/>
        </w:rPr>
        <w:t>Fig. 4</w:t>
      </w:r>
      <w:r w:rsidRPr="00615B16">
        <w:rPr>
          <w:rFonts w:eastAsia="Times New Roman"/>
          <w:kern w:val="0"/>
          <w:sz w:val="24"/>
          <w:lang w:eastAsia="en-US"/>
        </w:rPr>
        <w:t xml:space="preserve"> (BPIFB1 inhibited VTN-induced anti-apoptotic effects in HONE1 cells after radiation)</w:t>
      </w:r>
      <w:r w:rsidRPr="00615B16">
        <w:rPr>
          <w:kern w:val="0"/>
          <w:sz w:val="24"/>
        </w:rPr>
        <w:t xml:space="preserve">; </w:t>
      </w:r>
      <w:r w:rsidR="008A506D" w:rsidRPr="00615B16">
        <w:rPr>
          <w:rFonts w:eastAsia="Times New Roman"/>
          <w:kern w:val="0"/>
          <w:sz w:val="24"/>
          <w:lang w:eastAsia="en-US"/>
        </w:rPr>
        <w:t>Supplementary</w:t>
      </w:r>
      <w:r w:rsidR="008A506D" w:rsidRPr="00615B16">
        <w:rPr>
          <w:kern w:val="0"/>
          <w:sz w:val="24"/>
        </w:rPr>
        <w:t xml:space="preserve"> </w:t>
      </w:r>
      <w:r w:rsidR="008A506D">
        <w:rPr>
          <w:rFonts w:hint="eastAsia"/>
          <w:kern w:val="0"/>
          <w:sz w:val="24"/>
        </w:rPr>
        <w:t>Fig. 5</w:t>
      </w:r>
      <w:r w:rsidRPr="00615B16">
        <w:rPr>
          <w:rFonts w:eastAsia="Times New Roman"/>
          <w:kern w:val="0"/>
          <w:sz w:val="24"/>
          <w:lang w:eastAsia="en-US"/>
        </w:rPr>
        <w:t xml:space="preserve"> (BPIFB1 repressed VTN-induce</w:t>
      </w:r>
      <w:r w:rsidRPr="00615B16">
        <w:rPr>
          <w:kern w:val="0"/>
          <w:sz w:val="24"/>
        </w:rPr>
        <w:t>d</w:t>
      </w:r>
      <w:r w:rsidRPr="00615B16">
        <w:rPr>
          <w:rFonts w:eastAsia="Times New Roman"/>
          <w:kern w:val="0"/>
          <w:sz w:val="24"/>
          <w:lang w:eastAsia="en-US"/>
        </w:rPr>
        <w:t xml:space="preserve"> DNA repair of HONE1 cells after ionizing radiation)</w:t>
      </w:r>
      <w:r w:rsidRPr="00615B16">
        <w:rPr>
          <w:rFonts w:hint="eastAsia"/>
          <w:kern w:val="0"/>
          <w:sz w:val="24"/>
        </w:rPr>
        <w:t xml:space="preserve"> ; </w:t>
      </w:r>
      <w:r w:rsidR="008A506D" w:rsidRPr="00615B16">
        <w:rPr>
          <w:rFonts w:eastAsia="Times New Roman"/>
          <w:kern w:val="0"/>
          <w:sz w:val="24"/>
          <w:lang w:eastAsia="en-US"/>
        </w:rPr>
        <w:t>Supplementary</w:t>
      </w:r>
      <w:r w:rsidR="008A506D" w:rsidRPr="00615B16">
        <w:rPr>
          <w:kern w:val="0"/>
          <w:sz w:val="24"/>
        </w:rPr>
        <w:t xml:space="preserve"> </w:t>
      </w:r>
      <w:r w:rsidR="008A506D">
        <w:rPr>
          <w:rFonts w:hint="eastAsia"/>
          <w:kern w:val="0"/>
          <w:sz w:val="24"/>
        </w:rPr>
        <w:t>Fig. 6</w:t>
      </w:r>
      <w:r w:rsidRPr="00615B16">
        <w:rPr>
          <w:rFonts w:hint="eastAsia"/>
          <w:sz w:val="24"/>
        </w:rPr>
        <w:t xml:space="preserve"> (</w:t>
      </w:r>
      <w:r w:rsidRPr="00615B16">
        <w:rPr>
          <w:sz w:val="24"/>
        </w:rPr>
        <w:t xml:space="preserve">Full scans of </w:t>
      </w:r>
      <w:r w:rsidRPr="00615B16">
        <w:rPr>
          <w:rFonts w:hint="eastAsia"/>
          <w:sz w:val="24"/>
        </w:rPr>
        <w:t>all</w:t>
      </w:r>
      <w:r w:rsidRPr="00615B16">
        <w:rPr>
          <w:sz w:val="24"/>
        </w:rPr>
        <w:t xml:space="preserve"> western blots</w:t>
      </w:r>
      <w:r w:rsidRPr="00615B16">
        <w:rPr>
          <w:rFonts w:hint="eastAsia"/>
          <w:sz w:val="24"/>
        </w:rPr>
        <w:t>)</w:t>
      </w:r>
      <w:r w:rsidRPr="00615B16">
        <w:rPr>
          <w:kern w:val="0"/>
          <w:sz w:val="24"/>
        </w:rPr>
        <w:t>.</w:t>
      </w:r>
    </w:p>
    <w:p w:rsidR="00AB7A56" w:rsidRPr="00615B16" w:rsidRDefault="00AB7A56" w:rsidP="00AB7A56">
      <w:pPr>
        <w:adjustRightInd w:val="0"/>
        <w:snapToGrid w:val="0"/>
        <w:spacing w:line="480" w:lineRule="auto"/>
        <w:rPr>
          <w:kern w:val="0"/>
          <w:sz w:val="24"/>
        </w:rPr>
      </w:pPr>
    </w:p>
    <w:p w:rsidR="004468B6" w:rsidRPr="00615B16" w:rsidRDefault="00615B16" w:rsidP="00AB7A56">
      <w:pPr>
        <w:autoSpaceDE w:val="0"/>
        <w:autoSpaceDN w:val="0"/>
        <w:adjustRightInd w:val="0"/>
        <w:snapToGrid w:val="0"/>
        <w:spacing w:line="480" w:lineRule="auto"/>
        <w:rPr>
          <w:b/>
          <w:bCs/>
          <w:sz w:val="24"/>
        </w:rPr>
      </w:pPr>
      <w:r w:rsidRPr="00615B16">
        <w:rPr>
          <w:b/>
          <w:bCs/>
          <w:sz w:val="24"/>
        </w:rPr>
        <w:t>Supplementary Figure Legends</w:t>
      </w:r>
      <w:bookmarkStart w:id="0" w:name="_GoBack"/>
      <w:bookmarkEnd w:id="0"/>
    </w:p>
    <w:p w:rsidR="004468B6" w:rsidRPr="00615B16" w:rsidRDefault="00615B16">
      <w:pPr>
        <w:snapToGrid w:val="0"/>
        <w:spacing w:line="480" w:lineRule="auto"/>
        <w:outlineLvl w:val="0"/>
        <w:rPr>
          <w:bCs/>
          <w:sz w:val="24"/>
        </w:rPr>
      </w:pPr>
      <w:r w:rsidRPr="00615B16">
        <w:rPr>
          <w:b/>
          <w:bCs/>
          <w:sz w:val="24"/>
        </w:rPr>
        <w:t>Supplementary Fig</w:t>
      </w:r>
      <w:r w:rsidR="00CA6287">
        <w:rPr>
          <w:rFonts w:hint="eastAsia"/>
          <w:b/>
          <w:bCs/>
          <w:sz w:val="24"/>
        </w:rPr>
        <w:t xml:space="preserve">. </w:t>
      </w:r>
      <w:r w:rsidR="00CA6287">
        <w:rPr>
          <w:b/>
          <w:bCs/>
          <w:sz w:val="24"/>
        </w:rPr>
        <w:t>1</w:t>
      </w:r>
      <w:r w:rsidRPr="00615B16">
        <w:rPr>
          <w:b/>
          <w:bCs/>
          <w:sz w:val="24"/>
        </w:rPr>
        <w:t xml:space="preserve"> </w:t>
      </w:r>
      <w:r w:rsidRPr="00615B16">
        <w:rPr>
          <w:b/>
          <w:bCs/>
          <w:kern w:val="0"/>
          <w:sz w:val="24"/>
        </w:rPr>
        <w:t xml:space="preserve">BPIFB1 re-expression sensitized HONE1 cells to ionizing radiation. </w:t>
      </w:r>
      <w:proofErr w:type="gramStart"/>
      <w:r w:rsidR="00CA6287" w:rsidRPr="00CA6287">
        <w:rPr>
          <w:b/>
          <w:kern w:val="0"/>
          <w:sz w:val="24"/>
        </w:rPr>
        <w:t>a</w:t>
      </w:r>
      <w:proofErr w:type="gramEnd"/>
      <w:r w:rsidRPr="00615B16">
        <w:rPr>
          <w:kern w:val="0"/>
          <w:sz w:val="24"/>
        </w:rPr>
        <w:t xml:space="preserve"> Effects of BPIFB1 on clone formation ability of HONE1 cells after irradiation with doses of 0</w:t>
      </w:r>
      <w:r w:rsidRPr="00615B16">
        <w:rPr>
          <w:rFonts w:hint="eastAsia"/>
          <w:kern w:val="0"/>
          <w:sz w:val="24"/>
        </w:rPr>
        <w:t>-</w:t>
      </w:r>
      <w:r w:rsidRPr="00615B16">
        <w:rPr>
          <w:kern w:val="0"/>
          <w:sz w:val="24"/>
        </w:rPr>
        <w:t xml:space="preserve">8 </w:t>
      </w:r>
      <w:proofErr w:type="spellStart"/>
      <w:r w:rsidRPr="00615B16">
        <w:rPr>
          <w:kern w:val="0"/>
          <w:sz w:val="24"/>
        </w:rPr>
        <w:t>Gy</w:t>
      </w:r>
      <w:proofErr w:type="spellEnd"/>
      <w:r w:rsidRPr="00615B16">
        <w:rPr>
          <w:kern w:val="0"/>
          <w:sz w:val="24"/>
        </w:rPr>
        <w:t xml:space="preserve">. </w:t>
      </w:r>
      <w:proofErr w:type="gramStart"/>
      <w:r w:rsidRPr="00CA6287">
        <w:rPr>
          <w:b/>
          <w:kern w:val="0"/>
          <w:sz w:val="24"/>
        </w:rPr>
        <w:t>b</w:t>
      </w:r>
      <w:proofErr w:type="gramEnd"/>
      <w:r w:rsidRPr="00615B16">
        <w:rPr>
          <w:kern w:val="0"/>
          <w:sz w:val="24"/>
        </w:rPr>
        <w:t xml:space="preserve"> </w:t>
      </w:r>
      <w:r w:rsidRPr="00615B16">
        <w:rPr>
          <w:sz w:val="24"/>
        </w:rPr>
        <w:t xml:space="preserve">The numbers of surviving foci are presented as bar graphs representing means ± SD. </w:t>
      </w:r>
      <w:r w:rsidRPr="00CA6287">
        <w:rPr>
          <w:b/>
          <w:sz w:val="24"/>
        </w:rPr>
        <w:t>c</w:t>
      </w:r>
      <w:r w:rsidRPr="00615B16">
        <w:rPr>
          <w:sz w:val="24"/>
        </w:rPr>
        <w:t xml:space="preserve"> Effects of BPIFB1 on survival rate of HONE1 cells after radiotherapy; surviving fractions were calculated as described based on data from experiments in (b). </w:t>
      </w:r>
      <w:r w:rsidRPr="00615B16">
        <w:rPr>
          <w:bCs/>
          <w:sz w:val="24"/>
        </w:rPr>
        <w:t>*</w:t>
      </w:r>
      <w:r w:rsidRPr="00615B16">
        <w:rPr>
          <w:bCs/>
          <w:i/>
          <w:sz w:val="24"/>
        </w:rPr>
        <w:t xml:space="preserve">P </w:t>
      </w:r>
      <w:r w:rsidRPr="00615B16">
        <w:rPr>
          <w:bCs/>
          <w:sz w:val="24"/>
        </w:rPr>
        <w:t>&lt; 0.05; **</w:t>
      </w:r>
      <w:r w:rsidRPr="00615B16">
        <w:rPr>
          <w:bCs/>
          <w:i/>
          <w:sz w:val="24"/>
        </w:rPr>
        <w:t>P</w:t>
      </w:r>
      <w:r w:rsidRPr="00615B16">
        <w:rPr>
          <w:bCs/>
          <w:sz w:val="24"/>
        </w:rPr>
        <w:t>&lt; 0.01</w:t>
      </w:r>
      <w:r w:rsidRPr="00615B16">
        <w:rPr>
          <w:sz w:val="24"/>
        </w:rPr>
        <w:t>; ***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0.001.</w:t>
      </w:r>
    </w:p>
    <w:p w:rsidR="004468B6" w:rsidRPr="00615B16" w:rsidRDefault="004468B6">
      <w:pPr>
        <w:snapToGrid w:val="0"/>
        <w:spacing w:line="480" w:lineRule="auto"/>
        <w:outlineLvl w:val="0"/>
        <w:rPr>
          <w:bCs/>
          <w:sz w:val="24"/>
        </w:rPr>
      </w:pPr>
    </w:p>
    <w:p w:rsidR="004468B6" w:rsidRPr="00615B16" w:rsidRDefault="00615B16" w:rsidP="00AB7A56">
      <w:pPr>
        <w:adjustRightInd w:val="0"/>
        <w:snapToGrid w:val="0"/>
        <w:spacing w:line="480" w:lineRule="auto"/>
        <w:outlineLvl w:val="0"/>
        <w:rPr>
          <w:sz w:val="24"/>
        </w:rPr>
      </w:pPr>
      <w:r w:rsidRPr="00615B16">
        <w:rPr>
          <w:b/>
          <w:bCs/>
          <w:kern w:val="0"/>
          <w:sz w:val="24"/>
        </w:rPr>
        <w:t>Supplementary Fi</w:t>
      </w:r>
      <w:r w:rsidR="00CA6287">
        <w:rPr>
          <w:rFonts w:hint="eastAsia"/>
          <w:b/>
          <w:bCs/>
          <w:kern w:val="0"/>
          <w:sz w:val="24"/>
        </w:rPr>
        <w:t xml:space="preserve">g. </w:t>
      </w:r>
      <w:r w:rsidR="00CA6287">
        <w:rPr>
          <w:b/>
          <w:bCs/>
          <w:kern w:val="0"/>
          <w:sz w:val="24"/>
        </w:rPr>
        <w:t>2</w:t>
      </w:r>
      <w:r w:rsidRPr="00615B16">
        <w:rPr>
          <w:b/>
          <w:bCs/>
          <w:kern w:val="0"/>
          <w:sz w:val="24"/>
        </w:rPr>
        <w:t xml:space="preserve"> BPIFB1 regulated HONE1 cell </w:t>
      </w:r>
      <w:proofErr w:type="spellStart"/>
      <w:r w:rsidRPr="00615B16">
        <w:rPr>
          <w:b/>
          <w:bCs/>
          <w:kern w:val="0"/>
          <w:sz w:val="24"/>
        </w:rPr>
        <w:t>radioresponse</w:t>
      </w:r>
      <w:proofErr w:type="spellEnd"/>
      <w:r w:rsidRPr="00615B16">
        <w:rPr>
          <w:b/>
          <w:bCs/>
          <w:kern w:val="0"/>
          <w:sz w:val="24"/>
        </w:rPr>
        <w:t xml:space="preserve"> by interacting with VTN. </w:t>
      </w:r>
      <w:proofErr w:type="gramStart"/>
      <w:r w:rsidR="00CA6287">
        <w:rPr>
          <w:rFonts w:hint="eastAsia"/>
          <w:b/>
          <w:kern w:val="0"/>
          <w:sz w:val="24"/>
        </w:rPr>
        <w:t>a</w:t>
      </w:r>
      <w:proofErr w:type="gramEnd"/>
      <w:r w:rsidR="00CA6287">
        <w:rPr>
          <w:rFonts w:hint="eastAsia"/>
          <w:kern w:val="0"/>
          <w:sz w:val="24"/>
        </w:rPr>
        <w:t xml:space="preserve"> </w:t>
      </w:r>
      <w:r w:rsidRPr="00615B16">
        <w:rPr>
          <w:kern w:val="0"/>
          <w:sz w:val="24"/>
        </w:rPr>
        <w:t xml:space="preserve">BPIFB1 and VTN expression was confirmed by western blotting in HONE1 cells </w:t>
      </w:r>
      <w:proofErr w:type="spellStart"/>
      <w:r w:rsidRPr="00615B16">
        <w:rPr>
          <w:kern w:val="0"/>
          <w:sz w:val="24"/>
        </w:rPr>
        <w:t>transfected</w:t>
      </w:r>
      <w:proofErr w:type="spellEnd"/>
      <w:r w:rsidRPr="00615B16">
        <w:rPr>
          <w:kern w:val="0"/>
          <w:sz w:val="24"/>
        </w:rPr>
        <w:t xml:space="preserve"> or co-</w:t>
      </w:r>
      <w:proofErr w:type="spellStart"/>
      <w:r w:rsidRPr="00615B16">
        <w:rPr>
          <w:kern w:val="0"/>
          <w:sz w:val="24"/>
        </w:rPr>
        <w:t>transfected</w:t>
      </w:r>
      <w:proofErr w:type="spellEnd"/>
      <w:r w:rsidRPr="00615B16">
        <w:rPr>
          <w:kern w:val="0"/>
          <w:sz w:val="24"/>
        </w:rPr>
        <w:t xml:space="preserve"> with BPIFB1-Flag and VTN-His vectors using anti-Flag and anti-His primary antibodies. </w:t>
      </w:r>
      <w:proofErr w:type="gramStart"/>
      <w:r w:rsidRPr="00CA6287">
        <w:rPr>
          <w:b/>
          <w:kern w:val="0"/>
          <w:sz w:val="24"/>
        </w:rPr>
        <w:t>b</w:t>
      </w:r>
      <w:proofErr w:type="gramEnd"/>
      <w:r w:rsidRPr="00615B16">
        <w:rPr>
          <w:kern w:val="0"/>
          <w:sz w:val="24"/>
        </w:rPr>
        <w:t xml:space="preserve"> </w:t>
      </w:r>
      <w:r w:rsidRPr="00615B16">
        <w:rPr>
          <w:rFonts w:ascii="TimesNewRomanPS-BoldMT" w:hAnsi="TimesNewRomanPS-BoldMT" w:cs="TimesNewRomanPS-BoldMT"/>
          <w:bCs/>
          <w:color w:val="000000"/>
          <w:sz w:val="24"/>
        </w:rPr>
        <w:t>Clone formation assays showed the response of HONE1-NC (negative control), HONE1-BPIFB1, HONE1-VTN, and HONE1-BPIFB1/VTN cells to</w:t>
      </w:r>
      <w:r w:rsidRPr="00615B16">
        <w:rPr>
          <w:sz w:val="24"/>
        </w:rPr>
        <w:t xml:space="preserve"> 0</w:t>
      </w:r>
      <w:r w:rsidRPr="00615B16">
        <w:rPr>
          <w:rFonts w:hint="eastAsia"/>
          <w:sz w:val="24"/>
        </w:rPr>
        <w:t>-</w:t>
      </w:r>
      <w:r w:rsidRPr="00615B16">
        <w:rPr>
          <w:sz w:val="24"/>
        </w:rPr>
        <w:t xml:space="preserve">8 </w:t>
      </w:r>
      <w:proofErr w:type="spellStart"/>
      <w:r w:rsidRPr="00615B16">
        <w:rPr>
          <w:sz w:val="24"/>
        </w:rPr>
        <w:t>Gy</w:t>
      </w:r>
      <w:proofErr w:type="spellEnd"/>
      <w:r w:rsidRPr="00615B16">
        <w:rPr>
          <w:rFonts w:ascii="TimesNewRomanPS-BoldMT" w:hAnsi="TimesNewRomanPS-BoldMT" w:cs="TimesNewRomanPS-BoldMT"/>
          <w:bCs/>
          <w:color w:val="000000"/>
          <w:sz w:val="24"/>
        </w:rPr>
        <w:t xml:space="preserve"> radiotherapy</w:t>
      </w:r>
      <w:r w:rsidRPr="00615B16">
        <w:rPr>
          <w:sz w:val="24"/>
        </w:rPr>
        <w:t xml:space="preserve">. </w:t>
      </w:r>
      <w:proofErr w:type="gramStart"/>
      <w:r w:rsidRPr="00CA6287">
        <w:rPr>
          <w:b/>
          <w:sz w:val="24"/>
        </w:rPr>
        <w:t>c</w:t>
      </w:r>
      <w:proofErr w:type="gramEnd"/>
      <w:r w:rsidRPr="00615B16">
        <w:rPr>
          <w:sz w:val="24"/>
        </w:rPr>
        <w:t xml:space="preserve"> The numbers of surviving foci in the four cell groups are presented as bar graphs representing means ± SD. </w:t>
      </w:r>
      <w:r w:rsidRPr="00CA6287">
        <w:rPr>
          <w:b/>
          <w:sz w:val="24"/>
        </w:rPr>
        <w:t>d</w:t>
      </w:r>
      <w:r w:rsidRPr="00615B16">
        <w:rPr>
          <w:sz w:val="24"/>
        </w:rPr>
        <w:t xml:space="preserve"> Effects of BPIFB1 and VTN on survival of HONE1 cells </w:t>
      </w:r>
      <w:r w:rsidRPr="00615B16">
        <w:rPr>
          <w:sz w:val="24"/>
        </w:rPr>
        <w:lastRenderedPageBreak/>
        <w:t>after radiotherapy; surviving fractions were calculated as described based on the data from experiments depicted in (c). 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0.05; 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0.01; ***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0.001; ns, no significance.</w:t>
      </w:r>
    </w:p>
    <w:p w:rsidR="004468B6" w:rsidRPr="00615B16" w:rsidRDefault="004468B6" w:rsidP="00AB7A56">
      <w:pPr>
        <w:adjustRightInd w:val="0"/>
        <w:snapToGrid w:val="0"/>
        <w:spacing w:line="480" w:lineRule="auto"/>
        <w:outlineLvl w:val="0"/>
        <w:rPr>
          <w:sz w:val="24"/>
        </w:rPr>
      </w:pPr>
    </w:p>
    <w:p w:rsidR="004468B6" w:rsidRPr="00615B16" w:rsidRDefault="00615B16" w:rsidP="00FE60B6">
      <w:pPr>
        <w:adjustRightInd w:val="0"/>
        <w:snapToGrid w:val="0"/>
        <w:spacing w:line="480" w:lineRule="auto"/>
        <w:rPr>
          <w:b/>
          <w:bCs/>
          <w:kern w:val="0"/>
          <w:sz w:val="24"/>
        </w:rPr>
      </w:pPr>
      <w:r w:rsidRPr="00615B16">
        <w:rPr>
          <w:b/>
          <w:bCs/>
          <w:kern w:val="0"/>
          <w:sz w:val="24"/>
        </w:rPr>
        <w:t>Supplementary Fig</w:t>
      </w:r>
      <w:r w:rsidR="00CA6287">
        <w:rPr>
          <w:rFonts w:hint="eastAsia"/>
          <w:b/>
          <w:bCs/>
          <w:kern w:val="0"/>
          <w:sz w:val="24"/>
        </w:rPr>
        <w:t xml:space="preserve">. </w:t>
      </w:r>
      <w:r w:rsidR="00CA6287">
        <w:rPr>
          <w:b/>
          <w:bCs/>
          <w:kern w:val="0"/>
          <w:sz w:val="24"/>
        </w:rPr>
        <w:t>3</w:t>
      </w:r>
      <w:r w:rsidRPr="00615B16">
        <w:rPr>
          <w:b/>
          <w:bCs/>
          <w:kern w:val="0"/>
          <w:sz w:val="24"/>
        </w:rPr>
        <w:t xml:space="preserve"> BPIFB1 inhibited VTN-induced </w:t>
      </w:r>
      <w:proofErr w:type="spellStart"/>
      <w:r w:rsidRPr="00615B16">
        <w:rPr>
          <w:b/>
          <w:bCs/>
          <w:kern w:val="0"/>
          <w:sz w:val="24"/>
        </w:rPr>
        <w:t>radioresistance</w:t>
      </w:r>
      <w:proofErr w:type="spellEnd"/>
      <w:r w:rsidRPr="00615B16">
        <w:rPr>
          <w:b/>
          <w:bCs/>
          <w:kern w:val="0"/>
          <w:sz w:val="24"/>
        </w:rPr>
        <w:t xml:space="preserve"> of CNE2 cells after 6 </w:t>
      </w:r>
      <w:proofErr w:type="spellStart"/>
      <w:r w:rsidRPr="00615B16">
        <w:rPr>
          <w:b/>
          <w:bCs/>
          <w:kern w:val="0"/>
          <w:sz w:val="24"/>
        </w:rPr>
        <w:t>Gy</w:t>
      </w:r>
      <w:proofErr w:type="spellEnd"/>
      <w:r w:rsidRPr="00615B16">
        <w:rPr>
          <w:b/>
          <w:bCs/>
          <w:kern w:val="0"/>
          <w:sz w:val="24"/>
        </w:rPr>
        <w:t xml:space="preserve"> as a single dose or a daily dose of 2Gy for 3 d. </w:t>
      </w:r>
      <w:r w:rsidRPr="00CA6287">
        <w:rPr>
          <w:b/>
          <w:bCs/>
          <w:kern w:val="0"/>
          <w:sz w:val="24"/>
        </w:rPr>
        <w:t>a</w:t>
      </w:r>
      <w:r w:rsidRPr="00615B16">
        <w:rPr>
          <w:bCs/>
          <w:kern w:val="0"/>
          <w:sz w:val="24"/>
        </w:rPr>
        <w:t xml:space="preserve"> Clone formation assay showing the response of CNE2-NC (negative control), CNE2-BPIFB1, CNE2-VTN, and CNE2-BPIFB1/VTN cells treated with IR as a single dose of 6 </w:t>
      </w:r>
      <w:proofErr w:type="spellStart"/>
      <w:r w:rsidRPr="00615B16">
        <w:rPr>
          <w:bCs/>
          <w:kern w:val="0"/>
          <w:sz w:val="24"/>
        </w:rPr>
        <w:t>Gy</w:t>
      </w:r>
      <w:proofErr w:type="spellEnd"/>
      <w:r w:rsidRPr="00615B16">
        <w:rPr>
          <w:bCs/>
          <w:kern w:val="0"/>
          <w:sz w:val="24"/>
        </w:rPr>
        <w:t xml:space="preserve"> or multiple doses (a daily dose of 2 </w:t>
      </w:r>
      <w:proofErr w:type="spellStart"/>
      <w:r w:rsidRPr="00615B16">
        <w:rPr>
          <w:bCs/>
          <w:kern w:val="0"/>
          <w:sz w:val="24"/>
        </w:rPr>
        <w:t>Gy</w:t>
      </w:r>
      <w:proofErr w:type="spellEnd"/>
      <w:r w:rsidRPr="00615B16">
        <w:rPr>
          <w:bCs/>
          <w:kern w:val="0"/>
          <w:sz w:val="24"/>
        </w:rPr>
        <w:t xml:space="preserve"> for 3 d). </w:t>
      </w:r>
      <w:proofErr w:type="gramStart"/>
      <w:r w:rsidRPr="00CA6287">
        <w:rPr>
          <w:b/>
          <w:bCs/>
          <w:kern w:val="0"/>
          <w:sz w:val="24"/>
        </w:rPr>
        <w:t>b</w:t>
      </w:r>
      <w:proofErr w:type="gramEnd"/>
      <w:r w:rsidRPr="00615B16">
        <w:rPr>
          <w:bCs/>
          <w:kern w:val="0"/>
          <w:sz w:val="24"/>
        </w:rPr>
        <w:t xml:space="preserve"> The numbers of surviving foci in the four groups are presented as bar graphs representing means ± SD. </w:t>
      </w:r>
      <w:r w:rsidRPr="00615B16">
        <w:rPr>
          <w:sz w:val="24"/>
        </w:rPr>
        <w:t>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0.05; 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0.01; ***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0.001; ns, no significance.</w:t>
      </w:r>
    </w:p>
    <w:p w:rsidR="004468B6" w:rsidRPr="00615B16" w:rsidRDefault="004468B6" w:rsidP="00FE60B6">
      <w:pPr>
        <w:adjustRightInd w:val="0"/>
        <w:snapToGrid w:val="0"/>
        <w:spacing w:line="480" w:lineRule="auto"/>
        <w:rPr>
          <w:b/>
          <w:bCs/>
          <w:kern w:val="0"/>
          <w:sz w:val="24"/>
        </w:rPr>
      </w:pPr>
    </w:p>
    <w:p w:rsidR="004468B6" w:rsidRPr="00615B16" w:rsidRDefault="00615B16" w:rsidP="009470E6">
      <w:pPr>
        <w:adjustRightInd w:val="0"/>
        <w:snapToGrid w:val="0"/>
        <w:spacing w:line="480" w:lineRule="auto"/>
        <w:rPr>
          <w:sz w:val="24"/>
        </w:rPr>
      </w:pPr>
      <w:r w:rsidRPr="00615B16">
        <w:rPr>
          <w:b/>
          <w:bCs/>
          <w:sz w:val="24"/>
        </w:rPr>
        <w:t>Supplementary Fig</w:t>
      </w:r>
      <w:r w:rsidR="00751178">
        <w:rPr>
          <w:rFonts w:hint="eastAsia"/>
          <w:b/>
          <w:bCs/>
          <w:sz w:val="24"/>
        </w:rPr>
        <w:t xml:space="preserve">. </w:t>
      </w:r>
      <w:r w:rsidR="00751178">
        <w:rPr>
          <w:b/>
          <w:bCs/>
          <w:sz w:val="24"/>
        </w:rPr>
        <w:t>4</w:t>
      </w:r>
      <w:r w:rsidRPr="00615B16">
        <w:rPr>
          <w:b/>
          <w:bCs/>
          <w:sz w:val="24"/>
        </w:rPr>
        <w:t xml:space="preserve"> </w:t>
      </w:r>
      <w:proofErr w:type="spellStart"/>
      <w:r w:rsidRPr="00615B16">
        <w:rPr>
          <w:b/>
          <w:sz w:val="24"/>
        </w:rPr>
        <w:t>Overexpression</w:t>
      </w:r>
      <w:proofErr w:type="spellEnd"/>
      <w:r w:rsidRPr="00615B16">
        <w:rPr>
          <w:b/>
          <w:sz w:val="24"/>
        </w:rPr>
        <w:t xml:space="preserve"> of BPIFB1 inhibited VTN-induced anti-apoptotic effects in HONE1 cells after ionizing radiation (IR)</w:t>
      </w:r>
      <w:r w:rsidRPr="00615B16">
        <w:rPr>
          <w:b/>
          <w:bCs/>
          <w:kern w:val="0"/>
          <w:sz w:val="24"/>
        </w:rPr>
        <w:t xml:space="preserve">. </w:t>
      </w:r>
      <w:proofErr w:type="gramStart"/>
      <w:r w:rsidRPr="00751178">
        <w:rPr>
          <w:b/>
          <w:kern w:val="0"/>
          <w:sz w:val="24"/>
        </w:rPr>
        <w:t>a</w:t>
      </w:r>
      <w:proofErr w:type="gramEnd"/>
      <w:r w:rsidRPr="00615B16">
        <w:rPr>
          <w:kern w:val="0"/>
          <w:sz w:val="24"/>
        </w:rPr>
        <w:t xml:space="preserve"> (Top) BPIFB1-overexpressing cells were sensitive to IR-induced cell death. Four groups of HONE1 cells (</w:t>
      </w:r>
      <w:proofErr w:type="spellStart"/>
      <w:r w:rsidRPr="00615B16">
        <w:rPr>
          <w:kern w:val="0"/>
          <w:sz w:val="24"/>
        </w:rPr>
        <w:t>overexpression</w:t>
      </w:r>
      <w:proofErr w:type="spellEnd"/>
      <w:r w:rsidRPr="00615B16">
        <w:rPr>
          <w:kern w:val="0"/>
          <w:sz w:val="24"/>
        </w:rPr>
        <w:t xml:space="preserve"> BPIFB1, VTN, both, or the negative control) were treated with or without </w:t>
      </w:r>
      <w:r w:rsidRPr="00615B16">
        <w:rPr>
          <w:sz w:val="24"/>
        </w:rPr>
        <w:t xml:space="preserve">6 </w:t>
      </w:r>
      <w:proofErr w:type="spellStart"/>
      <w:r w:rsidRPr="00615B16">
        <w:rPr>
          <w:sz w:val="24"/>
        </w:rPr>
        <w:t>Gy</w:t>
      </w:r>
      <w:proofErr w:type="spellEnd"/>
      <w:r w:rsidRPr="00615B16">
        <w:rPr>
          <w:sz w:val="24"/>
        </w:rPr>
        <w:t xml:space="preserve"> of IR, and the cells were stained with </w:t>
      </w:r>
      <w:proofErr w:type="spellStart"/>
      <w:r w:rsidRPr="00615B16">
        <w:rPr>
          <w:sz w:val="24"/>
        </w:rPr>
        <w:t>annexin</w:t>
      </w:r>
      <w:proofErr w:type="spellEnd"/>
      <w:r w:rsidRPr="00615B16">
        <w:rPr>
          <w:sz w:val="24"/>
        </w:rPr>
        <w:t xml:space="preserve"> V to measure the percentage of apoptotic cells. (Below) The percentage of apoptotic cells is presented as bar graphs representing means ± SD. 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>&lt; 0.01; ***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 xml:space="preserve">&lt; 0.001; ns, no significance. </w:t>
      </w:r>
      <w:proofErr w:type="gramStart"/>
      <w:r w:rsidRPr="00751178">
        <w:rPr>
          <w:b/>
          <w:sz w:val="24"/>
        </w:rPr>
        <w:t>b</w:t>
      </w:r>
      <w:proofErr w:type="gramEnd"/>
      <w:r w:rsidRPr="00615B16">
        <w:rPr>
          <w:sz w:val="24"/>
        </w:rPr>
        <w:t xml:space="preserve"> Expression of typical apoptosis markers, including cleaved caspase-9, cleaved caspase-3, cleaved caspase-7, and cleaved PARP, according to western blotting performed on the four groups of HONE1 cells </w:t>
      </w:r>
      <w:proofErr w:type="spellStart"/>
      <w:r w:rsidRPr="00615B16">
        <w:rPr>
          <w:sz w:val="24"/>
        </w:rPr>
        <w:t>transfected</w:t>
      </w:r>
      <w:proofErr w:type="spellEnd"/>
      <w:r w:rsidRPr="00615B16">
        <w:rPr>
          <w:sz w:val="24"/>
        </w:rPr>
        <w:t xml:space="preserve"> or co-</w:t>
      </w:r>
      <w:proofErr w:type="spellStart"/>
      <w:r w:rsidRPr="00615B16">
        <w:rPr>
          <w:sz w:val="24"/>
        </w:rPr>
        <w:t>transfected</w:t>
      </w:r>
      <w:proofErr w:type="spellEnd"/>
      <w:r w:rsidRPr="00615B16">
        <w:rPr>
          <w:sz w:val="24"/>
        </w:rPr>
        <w:t xml:space="preserve"> with the BPIFB1-Flag and VTN-His vectors. GAPDH was used as an internal control. NC: negative control. The numbers below blots represent grayscale values of each blot. The molecular weights of blots are indicated to their right.</w:t>
      </w:r>
    </w:p>
    <w:p w:rsidR="004468B6" w:rsidRPr="00615B16" w:rsidRDefault="004468B6" w:rsidP="009470E6">
      <w:pPr>
        <w:adjustRightInd w:val="0"/>
        <w:snapToGrid w:val="0"/>
        <w:spacing w:line="480" w:lineRule="auto"/>
        <w:outlineLvl w:val="0"/>
        <w:rPr>
          <w:sz w:val="24"/>
        </w:rPr>
      </w:pPr>
    </w:p>
    <w:p w:rsidR="004468B6" w:rsidRPr="00615B16" w:rsidRDefault="00615B16" w:rsidP="009470E6">
      <w:pPr>
        <w:adjustRightInd w:val="0"/>
        <w:snapToGrid w:val="0"/>
        <w:spacing w:line="480" w:lineRule="auto"/>
        <w:rPr>
          <w:sz w:val="24"/>
        </w:rPr>
      </w:pPr>
      <w:r w:rsidRPr="00615B16">
        <w:rPr>
          <w:b/>
          <w:bCs/>
          <w:sz w:val="24"/>
        </w:rPr>
        <w:t>Supplementary Fig</w:t>
      </w:r>
      <w:r w:rsidR="00751178">
        <w:rPr>
          <w:rFonts w:hint="eastAsia"/>
          <w:b/>
          <w:bCs/>
          <w:sz w:val="24"/>
        </w:rPr>
        <w:t xml:space="preserve">. </w:t>
      </w:r>
      <w:r w:rsidR="00751178">
        <w:rPr>
          <w:b/>
          <w:bCs/>
          <w:sz w:val="24"/>
        </w:rPr>
        <w:t>5</w:t>
      </w:r>
      <w:r w:rsidRPr="00615B16">
        <w:rPr>
          <w:b/>
          <w:bCs/>
          <w:sz w:val="24"/>
        </w:rPr>
        <w:t xml:space="preserve"> </w:t>
      </w:r>
      <w:r w:rsidRPr="00615B16">
        <w:rPr>
          <w:b/>
          <w:bCs/>
          <w:kern w:val="0"/>
          <w:sz w:val="24"/>
        </w:rPr>
        <w:t xml:space="preserve">BPIFB1 repressed VTN-induced DNA repair in HONE1 cells after ionizing radiation (IR). </w:t>
      </w:r>
      <w:r w:rsidRPr="00615B16">
        <w:rPr>
          <w:bCs/>
          <w:kern w:val="0"/>
          <w:sz w:val="24"/>
        </w:rPr>
        <w:t>The levels of γ</w:t>
      </w:r>
      <w:r w:rsidRPr="00615B16">
        <w:rPr>
          <w:rFonts w:hint="eastAsia"/>
          <w:bCs/>
          <w:kern w:val="0"/>
          <w:sz w:val="24"/>
        </w:rPr>
        <w:t>-</w:t>
      </w:r>
      <w:r w:rsidRPr="00615B16">
        <w:rPr>
          <w:bCs/>
          <w:kern w:val="0"/>
          <w:sz w:val="24"/>
        </w:rPr>
        <w:t xml:space="preserve">H2AX at different times after 6 </w:t>
      </w:r>
      <w:proofErr w:type="spellStart"/>
      <w:r w:rsidRPr="00615B16">
        <w:rPr>
          <w:bCs/>
          <w:kern w:val="0"/>
          <w:sz w:val="24"/>
        </w:rPr>
        <w:t>Gy</w:t>
      </w:r>
      <w:proofErr w:type="spellEnd"/>
      <w:r w:rsidRPr="00615B16">
        <w:rPr>
          <w:bCs/>
          <w:kern w:val="0"/>
          <w:sz w:val="24"/>
        </w:rPr>
        <w:t xml:space="preserve"> of IR </w:t>
      </w:r>
      <w:r w:rsidRPr="00615B16">
        <w:rPr>
          <w:sz w:val="24"/>
        </w:rPr>
        <w:t xml:space="preserve">were </w:t>
      </w:r>
      <w:r w:rsidRPr="00615B16">
        <w:rPr>
          <w:sz w:val="24"/>
        </w:rPr>
        <w:lastRenderedPageBreak/>
        <w:t xml:space="preserve">detected by </w:t>
      </w:r>
      <w:proofErr w:type="spellStart"/>
      <w:r w:rsidRPr="00615B16">
        <w:rPr>
          <w:sz w:val="24"/>
        </w:rPr>
        <w:t>immunofluorescence</w:t>
      </w:r>
      <w:proofErr w:type="spellEnd"/>
      <w:r w:rsidRPr="00615B16">
        <w:rPr>
          <w:sz w:val="24"/>
        </w:rPr>
        <w:t xml:space="preserve"> using HONE1 cells </w:t>
      </w:r>
      <w:proofErr w:type="spellStart"/>
      <w:r w:rsidRPr="00615B16">
        <w:rPr>
          <w:sz w:val="24"/>
        </w:rPr>
        <w:t>transfected</w:t>
      </w:r>
      <w:proofErr w:type="spellEnd"/>
      <w:r w:rsidRPr="00615B16">
        <w:rPr>
          <w:sz w:val="24"/>
        </w:rPr>
        <w:t xml:space="preserve"> or co-</w:t>
      </w:r>
      <w:proofErr w:type="spellStart"/>
      <w:r w:rsidRPr="00615B16">
        <w:rPr>
          <w:sz w:val="24"/>
        </w:rPr>
        <w:t>transfected</w:t>
      </w:r>
      <w:proofErr w:type="spellEnd"/>
      <w:r w:rsidRPr="00615B16">
        <w:rPr>
          <w:sz w:val="24"/>
        </w:rPr>
        <w:t xml:space="preserve"> with BPIFB1-Flag and VTN-His vectors. </w:t>
      </w:r>
      <w:r w:rsidRPr="00615B16">
        <w:rPr>
          <w:bCs/>
          <w:kern w:val="0"/>
          <w:sz w:val="24"/>
        </w:rPr>
        <w:t xml:space="preserve">Cells displaying 10 or more foci were counted as positive. </w:t>
      </w:r>
      <w:proofErr w:type="gramStart"/>
      <w:r w:rsidRPr="00751178">
        <w:rPr>
          <w:b/>
          <w:bCs/>
          <w:kern w:val="0"/>
          <w:sz w:val="24"/>
        </w:rPr>
        <w:t>a</w:t>
      </w:r>
      <w:proofErr w:type="gramEnd"/>
      <w:r w:rsidRPr="00615B16">
        <w:rPr>
          <w:bCs/>
          <w:kern w:val="0"/>
          <w:sz w:val="24"/>
        </w:rPr>
        <w:t xml:space="preserve"> Representative images of γ</w:t>
      </w:r>
      <w:r w:rsidRPr="00615B16">
        <w:rPr>
          <w:rFonts w:hint="eastAsia"/>
          <w:bCs/>
          <w:kern w:val="0"/>
          <w:sz w:val="24"/>
        </w:rPr>
        <w:t>-</w:t>
      </w:r>
      <w:r w:rsidRPr="00615B16">
        <w:rPr>
          <w:bCs/>
          <w:kern w:val="0"/>
          <w:sz w:val="24"/>
        </w:rPr>
        <w:t xml:space="preserve">H2AX foci in HONE1-NC (negative control), HONE1-BPIFB1, HONE1-VTN, and HONE1-BPIFB1/VTN cells are shown. </w:t>
      </w:r>
      <w:r w:rsidRPr="00615B16">
        <w:rPr>
          <w:sz w:val="24"/>
        </w:rPr>
        <w:t>***</w:t>
      </w:r>
      <w:r w:rsidRPr="00615B16">
        <w:rPr>
          <w:i/>
          <w:iCs/>
          <w:sz w:val="24"/>
        </w:rPr>
        <w:t xml:space="preserve">P </w:t>
      </w:r>
      <w:r w:rsidRPr="00615B16">
        <w:rPr>
          <w:sz w:val="24"/>
        </w:rPr>
        <w:t xml:space="preserve">&lt; 0.001; ns, no significance. Scale bar = </w:t>
      </w:r>
      <w:r w:rsidRPr="00615B16">
        <w:rPr>
          <w:rFonts w:hint="eastAsia"/>
          <w:sz w:val="24"/>
        </w:rPr>
        <w:t>5</w:t>
      </w:r>
      <w:r w:rsidRPr="00615B16">
        <w:rPr>
          <w:sz w:val="24"/>
        </w:rPr>
        <w:t xml:space="preserve">0 </w:t>
      </w:r>
      <w:proofErr w:type="spellStart"/>
      <w:r w:rsidRPr="00615B16">
        <w:rPr>
          <w:sz w:val="24"/>
        </w:rPr>
        <w:t>μm</w:t>
      </w:r>
      <w:proofErr w:type="spellEnd"/>
      <w:r w:rsidRPr="00615B16">
        <w:rPr>
          <w:sz w:val="24"/>
        </w:rPr>
        <w:t xml:space="preserve">. </w:t>
      </w:r>
      <w:proofErr w:type="gramStart"/>
      <w:r w:rsidRPr="00751178">
        <w:rPr>
          <w:b/>
          <w:bCs/>
          <w:kern w:val="0"/>
          <w:sz w:val="24"/>
        </w:rPr>
        <w:t>b</w:t>
      </w:r>
      <w:proofErr w:type="gramEnd"/>
      <w:r w:rsidRPr="00615B16">
        <w:rPr>
          <w:bCs/>
          <w:kern w:val="0"/>
          <w:sz w:val="24"/>
        </w:rPr>
        <w:t xml:space="preserve"> </w:t>
      </w:r>
      <w:r w:rsidRPr="00615B16">
        <w:rPr>
          <w:sz w:val="24"/>
        </w:rPr>
        <w:t xml:space="preserve">Histogram of the percentages of </w:t>
      </w:r>
      <w:r w:rsidRPr="00615B16">
        <w:rPr>
          <w:bCs/>
          <w:kern w:val="0"/>
          <w:sz w:val="24"/>
        </w:rPr>
        <w:t>γ</w:t>
      </w:r>
      <w:r w:rsidRPr="00615B16">
        <w:rPr>
          <w:rFonts w:hint="eastAsia"/>
          <w:bCs/>
          <w:kern w:val="0"/>
          <w:sz w:val="24"/>
        </w:rPr>
        <w:t>-</w:t>
      </w:r>
      <w:r w:rsidRPr="00615B16">
        <w:rPr>
          <w:bCs/>
          <w:kern w:val="0"/>
          <w:sz w:val="24"/>
        </w:rPr>
        <w:t>H2AX foci in the four groups of HONE1 cells (</w:t>
      </w:r>
      <w:proofErr w:type="spellStart"/>
      <w:r w:rsidRPr="00615B16">
        <w:rPr>
          <w:bCs/>
          <w:kern w:val="0"/>
          <w:sz w:val="24"/>
        </w:rPr>
        <w:t>overexpressing</w:t>
      </w:r>
      <w:proofErr w:type="spellEnd"/>
      <w:r w:rsidRPr="00615B16">
        <w:rPr>
          <w:bCs/>
          <w:kern w:val="0"/>
          <w:sz w:val="24"/>
        </w:rPr>
        <w:t xml:space="preserve"> BPIFB1, VTN, both, or the negative control). </w:t>
      </w:r>
      <w:proofErr w:type="gramStart"/>
      <w:r w:rsidRPr="00751178">
        <w:rPr>
          <w:b/>
          <w:bCs/>
          <w:kern w:val="0"/>
          <w:sz w:val="24"/>
        </w:rPr>
        <w:t>c</w:t>
      </w:r>
      <w:proofErr w:type="gramEnd"/>
      <w:r w:rsidRPr="00615B16">
        <w:rPr>
          <w:bCs/>
          <w:kern w:val="0"/>
          <w:sz w:val="24"/>
        </w:rPr>
        <w:t xml:space="preserve"> Detection of γ</w:t>
      </w:r>
      <w:r w:rsidRPr="00615B16">
        <w:rPr>
          <w:rFonts w:hint="eastAsia"/>
          <w:bCs/>
          <w:kern w:val="0"/>
          <w:sz w:val="24"/>
        </w:rPr>
        <w:t>-</w:t>
      </w:r>
      <w:r w:rsidRPr="00615B16">
        <w:rPr>
          <w:bCs/>
          <w:kern w:val="0"/>
          <w:sz w:val="24"/>
        </w:rPr>
        <w:t xml:space="preserve">H2AX protein levels in the four groups of HONE1 cells </w:t>
      </w:r>
      <w:r w:rsidRPr="00615B16">
        <w:rPr>
          <w:sz w:val="24"/>
        </w:rPr>
        <w:t xml:space="preserve">treated with or without 6 </w:t>
      </w:r>
      <w:proofErr w:type="spellStart"/>
      <w:r w:rsidRPr="00615B16">
        <w:rPr>
          <w:sz w:val="24"/>
        </w:rPr>
        <w:t>Gy</w:t>
      </w:r>
      <w:proofErr w:type="spellEnd"/>
      <w:r w:rsidRPr="00615B16">
        <w:rPr>
          <w:sz w:val="24"/>
        </w:rPr>
        <w:t xml:space="preserve"> of IR. The molecular weights of blots are indicated to their right.</w:t>
      </w:r>
    </w:p>
    <w:p w:rsidR="004468B6" w:rsidRPr="00615B16" w:rsidRDefault="004468B6" w:rsidP="009470E6">
      <w:pPr>
        <w:adjustRightInd w:val="0"/>
        <w:snapToGrid w:val="0"/>
        <w:spacing w:line="480" w:lineRule="auto"/>
        <w:rPr>
          <w:sz w:val="24"/>
        </w:rPr>
      </w:pPr>
    </w:p>
    <w:p w:rsidR="004468B6" w:rsidRPr="00615B16" w:rsidRDefault="00615B16" w:rsidP="009470E6">
      <w:pPr>
        <w:adjustRightInd w:val="0"/>
        <w:snapToGrid w:val="0"/>
        <w:spacing w:line="480" w:lineRule="auto"/>
        <w:rPr>
          <w:sz w:val="24"/>
        </w:rPr>
      </w:pPr>
      <w:r w:rsidRPr="00615B16">
        <w:rPr>
          <w:b/>
          <w:bCs/>
          <w:sz w:val="24"/>
        </w:rPr>
        <w:t>Supplementary Fig</w:t>
      </w:r>
      <w:r w:rsidR="00751178">
        <w:rPr>
          <w:rFonts w:hint="eastAsia"/>
          <w:b/>
          <w:bCs/>
          <w:sz w:val="24"/>
        </w:rPr>
        <w:t xml:space="preserve">. </w:t>
      </w:r>
      <w:r w:rsidR="00751178">
        <w:rPr>
          <w:b/>
          <w:bCs/>
          <w:sz w:val="24"/>
        </w:rPr>
        <w:t>6</w:t>
      </w:r>
      <w:r w:rsidRPr="00615B16">
        <w:rPr>
          <w:b/>
          <w:bCs/>
          <w:sz w:val="24"/>
        </w:rPr>
        <w:t xml:space="preserve"> Full scans of </w:t>
      </w:r>
      <w:r w:rsidRPr="00615B16">
        <w:rPr>
          <w:rFonts w:hint="eastAsia"/>
          <w:b/>
          <w:bCs/>
          <w:sz w:val="24"/>
        </w:rPr>
        <w:t>all</w:t>
      </w:r>
      <w:r w:rsidRPr="00615B16">
        <w:rPr>
          <w:b/>
          <w:bCs/>
          <w:sz w:val="24"/>
        </w:rPr>
        <w:t xml:space="preserve"> western blots.</w:t>
      </w:r>
      <w:r w:rsidRPr="00615B16">
        <w:rPr>
          <w:rFonts w:hint="eastAsia"/>
          <w:sz w:val="24"/>
        </w:rPr>
        <w:t xml:space="preserve"> </w:t>
      </w:r>
      <w:r w:rsidRPr="00615B16">
        <w:rPr>
          <w:bCs/>
          <w:kern w:val="0"/>
          <w:sz w:val="24"/>
        </w:rPr>
        <w:t>The red boxes show</w:t>
      </w:r>
      <w:r w:rsidRPr="00615B16">
        <w:rPr>
          <w:rFonts w:hint="eastAsia"/>
          <w:bCs/>
          <w:kern w:val="0"/>
          <w:sz w:val="24"/>
        </w:rPr>
        <w:t>ed</w:t>
      </w:r>
      <w:r w:rsidRPr="00615B16">
        <w:rPr>
          <w:bCs/>
          <w:kern w:val="0"/>
          <w:sz w:val="24"/>
        </w:rPr>
        <w:t xml:space="preserve"> the corresponding bands in </w:t>
      </w:r>
      <w:r w:rsidRPr="00615B16">
        <w:rPr>
          <w:rFonts w:hint="eastAsia"/>
          <w:bCs/>
          <w:kern w:val="0"/>
          <w:sz w:val="24"/>
        </w:rPr>
        <w:t>all</w:t>
      </w:r>
      <w:r w:rsidRPr="00615B16">
        <w:rPr>
          <w:bCs/>
          <w:kern w:val="0"/>
          <w:sz w:val="24"/>
        </w:rPr>
        <w:t xml:space="preserve"> </w:t>
      </w:r>
      <w:r w:rsidRPr="00615B16">
        <w:rPr>
          <w:rFonts w:hint="eastAsia"/>
          <w:bCs/>
          <w:kern w:val="0"/>
          <w:sz w:val="24"/>
        </w:rPr>
        <w:t>figures</w:t>
      </w:r>
      <w:r w:rsidRPr="00615B16">
        <w:rPr>
          <w:bCs/>
          <w:kern w:val="0"/>
          <w:sz w:val="24"/>
        </w:rPr>
        <w:t>, and the order of the bands is the same as the original figure (except for some specially labeled ones)</w:t>
      </w:r>
      <w:r w:rsidRPr="00615B16">
        <w:rPr>
          <w:rFonts w:hint="eastAsia"/>
          <w:bCs/>
          <w:kern w:val="0"/>
          <w:sz w:val="24"/>
        </w:rPr>
        <w:t>.</w:t>
      </w:r>
    </w:p>
    <w:sectPr w:rsidR="004468B6" w:rsidRPr="00615B16" w:rsidSect="004468B6">
      <w:footerReference w:type="default" r:id="rId8"/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ED" w:rsidRDefault="00CF25ED" w:rsidP="004468B6">
      <w:r>
        <w:separator/>
      </w:r>
    </w:p>
  </w:endnote>
  <w:endnote w:type="continuationSeparator" w:id="0">
    <w:p w:rsidR="00CF25ED" w:rsidRDefault="00CF25ED" w:rsidP="00446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-BoldMT">
    <w:altName w:val="Times New Roman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6" w:rsidRDefault="00A46926">
    <w:pPr>
      <w:pStyle w:val="a3"/>
      <w:jc w:val="right"/>
    </w:pPr>
    <w:r>
      <w:fldChar w:fldCharType="begin"/>
    </w:r>
    <w:r w:rsidR="00615B16">
      <w:instrText xml:space="preserve"> PAGE   \* MERGEFORMAT </w:instrText>
    </w:r>
    <w:r>
      <w:fldChar w:fldCharType="separate"/>
    </w:r>
    <w:r w:rsidR="009470E6">
      <w:rPr>
        <w:noProof/>
      </w:rPr>
      <w:t>3</w:t>
    </w:r>
    <w:r>
      <w:fldChar w:fldCharType="end"/>
    </w:r>
  </w:p>
  <w:p w:rsidR="004468B6" w:rsidRDefault="004468B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ED" w:rsidRDefault="00CF25ED" w:rsidP="004468B6">
      <w:r>
        <w:separator/>
      </w:r>
    </w:p>
  </w:footnote>
  <w:footnote w:type="continuationSeparator" w:id="0">
    <w:p w:rsidR="00CF25ED" w:rsidRDefault="00CF25ED" w:rsidP="004468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368B"/>
    <w:rsid w:val="001C1011"/>
    <w:rsid w:val="00304542"/>
    <w:rsid w:val="0039485B"/>
    <w:rsid w:val="003B17F0"/>
    <w:rsid w:val="003F3D96"/>
    <w:rsid w:val="004468B6"/>
    <w:rsid w:val="00615B16"/>
    <w:rsid w:val="00751178"/>
    <w:rsid w:val="008A506D"/>
    <w:rsid w:val="009470E6"/>
    <w:rsid w:val="00A1412D"/>
    <w:rsid w:val="00A46926"/>
    <w:rsid w:val="00A96244"/>
    <w:rsid w:val="00AB7A56"/>
    <w:rsid w:val="00AC0C53"/>
    <w:rsid w:val="00AF2ACE"/>
    <w:rsid w:val="00C77F69"/>
    <w:rsid w:val="00C9368B"/>
    <w:rsid w:val="00CA6287"/>
    <w:rsid w:val="00CF25ED"/>
    <w:rsid w:val="00E31489"/>
    <w:rsid w:val="00EF1BA9"/>
    <w:rsid w:val="00FE60B6"/>
    <w:rsid w:val="18371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8B6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468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468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line number"/>
    <w:basedOn w:val="a0"/>
    <w:uiPriority w:val="99"/>
    <w:semiHidden/>
    <w:unhideWhenUsed/>
    <w:qFormat/>
    <w:rsid w:val="004468B6"/>
  </w:style>
  <w:style w:type="character" w:customStyle="1" w:styleId="Char0">
    <w:name w:val="页眉 Char"/>
    <w:basedOn w:val="a0"/>
    <w:link w:val="a4"/>
    <w:uiPriority w:val="99"/>
    <w:semiHidden/>
    <w:rsid w:val="004468B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468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FD866A-D62E-4D13-96E7-FDE4A8D81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677</Words>
  <Characters>3864</Characters>
  <Application>Microsoft Office Word</Application>
  <DocSecurity>0</DocSecurity>
  <Lines>32</Lines>
  <Paragraphs>9</Paragraphs>
  <ScaleCrop>false</ScaleCrop>
  <Company>微软中国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weifang</dc:creator>
  <cp:lastModifiedBy>weifang</cp:lastModifiedBy>
  <cp:revision>15</cp:revision>
  <dcterms:created xsi:type="dcterms:W3CDTF">2018-01-25T02:54:00Z</dcterms:created>
  <dcterms:modified xsi:type="dcterms:W3CDTF">2018-02-09T08:23:00Z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