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29E" w:rsidRPr="000E329E" w:rsidRDefault="000E329E" w:rsidP="006C40BC">
      <w:pPr>
        <w:rPr>
          <w:b/>
          <w:sz w:val="28"/>
        </w:rPr>
      </w:pPr>
      <w:bookmarkStart w:id="0" w:name="_GoBack"/>
      <w:r w:rsidRPr="000E329E">
        <w:rPr>
          <w:b/>
          <w:sz w:val="28"/>
        </w:rPr>
        <w:t>Supplementary</w:t>
      </w:r>
      <w:r w:rsidRPr="000E329E">
        <w:rPr>
          <w:b/>
          <w:sz w:val="28"/>
        </w:rPr>
        <w:t xml:space="preserve"> Figure Legends</w:t>
      </w:r>
    </w:p>
    <w:bookmarkEnd w:id="0"/>
    <w:p w:rsidR="000E329E" w:rsidRDefault="000E329E" w:rsidP="006C40BC">
      <w:pPr>
        <w:rPr>
          <w:b/>
        </w:rPr>
      </w:pPr>
    </w:p>
    <w:p w:rsidR="006C40BC" w:rsidRDefault="006C40BC" w:rsidP="006C40BC">
      <w:r w:rsidRPr="006C40BC">
        <w:rPr>
          <w:b/>
        </w:rPr>
        <w:t>Supplementary Fig.1 (A</w:t>
      </w:r>
      <w:r w:rsidRPr="006C40BC">
        <w:rPr>
          <w:rFonts w:hint="eastAsia"/>
          <w:b/>
        </w:rPr>
        <w:t xml:space="preserve"> </w:t>
      </w:r>
      <w:r w:rsidRPr="006C40BC">
        <w:rPr>
          <w:b/>
        </w:rPr>
        <w:t>-</w:t>
      </w:r>
      <w:r w:rsidRPr="006C40BC">
        <w:rPr>
          <w:rFonts w:hint="eastAsia"/>
          <w:b/>
        </w:rPr>
        <w:t xml:space="preserve"> </w:t>
      </w:r>
      <w:r w:rsidRPr="006C40BC">
        <w:rPr>
          <w:b/>
        </w:rPr>
        <w:t>D)</w:t>
      </w:r>
      <w:r>
        <w:t xml:space="preserve"> </w:t>
      </w:r>
      <w:bookmarkStart w:id="1" w:name="OLE_LINK436"/>
      <w:bookmarkStart w:id="2" w:name="OLE_LINK437"/>
      <w:r w:rsidRPr="00D31E12">
        <w:rPr>
          <w:b/>
          <w:shd w:val="clear" w:color="auto" w:fill="FFFFFF"/>
        </w:rPr>
        <w:t xml:space="preserve">IFN-γ may play critical roles in determining the lower incidence of CRLM in CCl4 </w:t>
      </w:r>
      <w:bookmarkStart w:id="3" w:name="OLE_LINK422"/>
      <w:bookmarkStart w:id="4" w:name="OLE_LINK423"/>
      <w:r w:rsidRPr="00D31E12">
        <w:rPr>
          <w:b/>
          <w:shd w:val="clear" w:color="auto" w:fill="FFFFFF"/>
        </w:rPr>
        <w:t xml:space="preserve">induced </w:t>
      </w:r>
      <w:bookmarkEnd w:id="3"/>
      <w:bookmarkEnd w:id="4"/>
      <w:r w:rsidRPr="00D31E12">
        <w:rPr>
          <w:b/>
          <w:shd w:val="clear" w:color="auto" w:fill="FFFFFF"/>
        </w:rPr>
        <w:t>inflammatory circumstance.</w:t>
      </w:r>
      <w:bookmarkEnd w:id="1"/>
      <w:bookmarkEnd w:id="2"/>
      <w:r>
        <w:rPr>
          <w:shd w:val="clear" w:color="auto" w:fill="FFFFFF"/>
        </w:rPr>
        <w:t xml:space="preserve"> The IFN-</w:t>
      </w:r>
      <w:r w:rsidRPr="005D6806">
        <w:rPr>
          <w:shd w:val="clear" w:color="auto" w:fill="FFFFFF"/>
        </w:rPr>
        <w:t>γ</w:t>
      </w:r>
      <w:r>
        <w:rPr>
          <w:shd w:val="clear" w:color="auto" w:fill="FFFFFF"/>
        </w:rPr>
        <w:t xml:space="preserve"> receptor 1 (IFNGR1) found in CT26.WT cells was knocked down by transfection</w:t>
      </w:r>
      <w:r w:rsidRPr="006F3CDE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with </w:t>
      </w:r>
      <w:proofErr w:type="spellStart"/>
      <w:r>
        <w:rPr>
          <w:shd w:val="clear" w:color="auto" w:fill="FFFFFF"/>
        </w:rPr>
        <w:t>lentiviral</w:t>
      </w:r>
      <w:proofErr w:type="spellEnd"/>
      <w:r>
        <w:rPr>
          <w:shd w:val="clear" w:color="auto" w:fill="FFFFFF"/>
        </w:rPr>
        <w:t xml:space="preserve"> vectors, and those shRNA-IRFGR-1-</w:t>
      </w:r>
      <w:r w:rsidRPr="009509F4">
        <w:rPr>
          <w:shd w:val="clear" w:color="auto" w:fill="FFFFFF"/>
        </w:rPr>
        <w:t>CT26 cells</w:t>
      </w:r>
      <w:r>
        <w:rPr>
          <w:shd w:val="clear" w:color="auto" w:fill="FFFFFF"/>
        </w:rPr>
        <w:t xml:space="preserve"> </w:t>
      </w:r>
      <w:r w:rsidRPr="009509F4">
        <w:rPr>
          <w:shd w:val="clear" w:color="auto" w:fill="FFFFFF"/>
        </w:rPr>
        <w:t xml:space="preserve">were injected into </w:t>
      </w:r>
      <w:r>
        <w:rPr>
          <w:shd w:val="clear" w:color="auto" w:fill="FFFFFF"/>
        </w:rPr>
        <w:t>BALBC</w:t>
      </w:r>
      <w:r w:rsidRPr="009509F4">
        <w:rPr>
          <w:shd w:val="clear" w:color="auto" w:fill="FFFFFF"/>
        </w:rPr>
        <w:t>/c mice</w:t>
      </w:r>
      <w:r>
        <w:rPr>
          <w:shd w:val="clear" w:color="auto" w:fill="FFFFFF"/>
        </w:rPr>
        <w:t xml:space="preserve"> (n = 10) with hepatitis</w:t>
      </w:r>
      <w:r w:rsidRPr="009509F4">
        <w:rPr>
          <w:shd w:val="clear" w:color="auto" w:fill="FFFFFF"/>
        </w:rPr>
        <w:t>.</w:t>
      </w:r>
      <w:r>
        <w:rPr>
          <w:shd w:val="clear" w:color="auto" w:fill="FFFFFF"/>
        </w:rPr>
        <w:t xml:space="preserve"> A higher incidence of CRLM was detected in the IFNGR knockdown group compared with the control group (80% vs. 30%, P = 0.072),</w:t>
      </w:r>
      <w:r w:rsidRPr="00F31380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and dramatically </w:t>
      </w:r>
      <w:r>
        <w:rPr>
          <w:rFonts w:hint="eastAsia"/>
          <w:shd w:val="clear" w:color="auto" w:fill="FFFFFF"/>
        </w:rPr>
        <w:t>more</w:t>
      </w:r>
      <w:r w:rsidRPr="009509F4">
        <w:t xml:space="preserve"> powerful </w:t>
      </w:r>
      <w:r w:rsidRPr="009509F4">
        <w:rPr>
          <w:shd w:val="clear" w:color="auto" w:fill="FFFFFF"/>
        </w:rPr>
        <w:t xml:space="preserve">fluorescence </w:t>
      </w:r>
      <w:r>
        <w:rPr>
          <w:shd w:val="clear" w:color="auto" w:fill="FFFFFF"/>
        </w:rPr>
        <w:t>(P&lt;0.01)</w:t>
      </w:r>
      <w:r w:rsidRPr="009509F4">
        <w:rPr>
          <w:shd w:val="clear" w:color="auto" w:fill="FFFFFF"/>
        </w:rPr>
        <w:t>,</w:t>
      </w:r>
      <w:r w:rsidRPr="009509F4">
        <w:t xml:space="preserve"> </w:t>
      </w:r>
      <w:r>
        <w:rPr>
          <w:rFonts w:hint="eastAsia"/>
        </w:rPr>
        <w:t>more</w:t>
      </w:r>
      <w:r w:rsidRPr="009509F4">
        <w:rPr>
          <w:shd w:val="clear" w:color="auto" w:fill="FFFFFF"/>
        </w:rPr>
        <w:t xml:space="preserve"> metastatic foci </w:t>
      </w:r>
      <w:r>
        <w:rPr>
          <w:shd w:val="clear" w:color="auto" w:fill="FFFFFF"/>
        </w:rPr>
        <w:t>(P&lt;0.01)</w:t>
      </w:r>
      <w:r w:rsidRPr="009509F4">
        <w:rPr>
          <w:shd w:val="clear" w:color="auto" w:fill="FFFFFF"/>
        </w:rPr>
        <w:t xml:space="preserve"> and </w:t>
      </w:r>
      <w:r>
        <w:rPr>
          <w:rFonts w:hint="eastAsia"/>
          <w:shd w:val="clear" w:color="auto" w:fill="FFFFFF"/>
        </w:rPr>
        <w:t>larger</w:t>
      </w:r>
      <w:r>
        <w:rPr>
          <w:shd w:val="clear" w:color="auto" w:fill="FFFFFF"/>
        </w:rPr>
        <w:t xml:space="preserve"> maximum diameters of metastatic tumor (P &lt; 0.01) were also detected in the IFNGR knockdown group</w:t>
      </w:r>
      <w:r w:rsidRPr="009509F4">
        <w:rPr>
          <w:shd w:val="clear" w:color="auto" w:fill="FFFFFF"/>
        </w:rPr>
        <w:t>.</w:t>
      </w:r>
      <w:r>
        <w:rPr>
          <w:shd w:val="clear" w:color="auto" w:fill="FFFFFF"/>
        </w:rPr>
        <w:t xml:space="preserve"> (E-H) </w:t>
      </w:r>
      <w:r w:rsidRPr="00BC4023">
        <w:rPr>
          <w:shd w:val="clear" w:color="auto" w:fill="FFFFFF"/>
        </w:rPr>
        <w:t>Expression level of</w:t>
      </w:r>
      <w:r>
        <w:rPr>
          <w:shd w:val="clear" w:color="auto" w:fill="FFFFFF"/>
        </w:rPr>
        <w:t xml:space="preserve"> the</w:t>
      </w:r>
      <w:r w:rsidRPr="00BC4023">
        <w:rPr>
          <w:shd w:val="clear" w:color="auto" w:fill="FFFFFF"/>
        </w:rPr>
        <w:t xml:space="preserve"> let-7a-1-5p was related to the metasta</w:t>
      </w:r>
      <w:r>
        <w:rPr>
          <w:shd w:val="clear" w:color="auto" w:fill="FFFFFF"/>
        </w:rPr>
        <w:t>tic</w:t>
      </w:r>
      <w:r w:rsidRPr="00BC4023">
        <w:rPr>
          <w:shd w:val="clear" w:color="auto" w:fill="FFFFFF"/>
        </w:rPr>
        <w:t xml:space="preserve"> ability</w:t>
      </w:r>
      <w:r>
        <w:rPr>
          <w:shd w:val="clear" w:color="auto" w:fill="FFFFFF"/>
        </w:rPr>
        <w:t xml:space="preserve"> of CRC cells in liver inflammatory environment.</w:t>
      </w:r>
      <w:r w:rsidRPr="00BC4023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Splenic </w:t>
      </w:r>
      <w:r w:rsidRPr="009509F4">
        <w:rPr>
          <w:shd w:val="clear" w:color="auto" w:fill="FFFFFF"/>
        </w:rPr>
        <w:t>inject</w:t>
      </w:r>
      <w:r>
        <w:rPr>
          <w:shd w:val="clear" w:color="auto" w:fill="FFFFFF"/>
        </w:rPr>
        <w:t>ion of shRNA-let-7a-1-5p-CT26 cells and LV-let-7a-1-5p-CT26 cells were also performed in the mice with hepatitis (n = 10). The incidence of CRLM in the former group w</w:t>
      </w:r>
      <w:r>
        <w:rPr>
          <w:rFonts w:hint="eastAsia"/>
          <w:shd w:val="clear" w:color="auto" w:fill="FFFFFF"/>
        </w:rPr>
        <w:t>as 10%</w:t>
      </w:r>
      <w:r>
        <w:rPr>
          <w:shd w:val="clear" w:color="auto" w:fill="FFFFFF"/>
        </w:rPr>
        <w:t xml:space="preserve">, compared to 50% in the latter group (P = 0.141), and the total powerful of </w:t>
      </w:r>
      <w:r w:rsidRPr="009509F4">
        <w:rPr>
          <w:shd w:val="clear" w:color="auto" w:fill="FFFFFF"/>
        </w:rPr>
        <w:t>fluorescence</w:t>
      </w:r>
      <w:r>
        <w:rPr>
          <w:shd w:val="clear" w:color="auto" w:fill="FFFFFF"/>
        </w:rPr>
        <w:t xml:space="preserve">, the number of </w:t>
      </w:r>
      <w:r w:rsidRPr="009509F4">
        <w:rPr>
          <w:shd w:val="clear" w:color="auto" w:fill="FFFFFF"/>
        </w:rPr>
        <w:t>metastatic foci</w:t>
      </w:r>
      <w:r>
        <w:rPr>
          <w:shd w:val="clear" w:color="auto" w:fill="FFFFFF"/>
        </w:rPr>
        <w:t xml:space="preserve"> and</w:t>
      </w:r>
      <w:r w:rsidRPr="00DB22F3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the maximum diameter of metastasis also reached the </w:t>
      </w:r>
      <w:r w:rsidRPr="00BE1153">
        <w:rPr>
          <w:shd w:val="clear" w:color="auto" w:fill="FFFFFF"/>
        </w:rPr>
        <w:t>statistical significance</w:t>
      </w:r>
      <w:r>
        <w:rPr>
          <w:shd w:val="clear" w:color="auto" w:fill="FFFFFF"/>
        </w:rPr>
        <w:t xml:space="preserve"> (all P-value &lt; 0.05).</w:t>
      </w:r>
      <w:r w:rsidRPr="00874119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The </w:t>
      </w:r>
      <w:r w:rsidRPr="000A0D2A">
        <w:rPr>
          <w:shd w:val="clear" w:color="auto" w:fill="FFFFFF"/>
        </w:rPr>
        <w:t>Chi-square test</w:t>
      </w:r>
      <w:r w:rsidRPr="009509F4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was used to test the </w:t>
      </w:r>
      <w:r w:rsidRPr="0036768F">
        <w:rPr>
          <w:shd w:val="clear" w:color="auto" w:fill="FFFFFF"/>
        </w:rPr>
        <w:t>rates of incidence of metastasis</w:t>
      </w:r>
      <w:r>
        <w:rPr>
          <w:shd w:val="clear" w:color="auto" w:fill="FFFFFF"/>
        </w:rPr>
        <w:t xml:space="preserve">. Nonparametric test was used to test the total powerful of </w:t>
      </w:r>
      <w:r w:rsidRPr="009509F4">
        <w:rPr>
          <w:shd w:val="clear" w:color="auto" w:fill="FFFFFF"/>
        </w:rPr>
        <w:t>fluorescence</w:t>
      </w:r>
      <w:r>
        <w:rPr>
          <w:shd w:val="clear" w:color="auto" w:fill="FFFFFF"/>
        </w:rPr>
        <w:t xml:space="preserve">, the number of </w:t>
      </w:r>
      <w:r w:rsidRPr="009509F4">
        <w:rPr>
          <w:shd w:val="clear" w:color="auto" w:fill="FFFFFF"/>
        </w:rPr>
        <w:t>metastatic foci</w:t>
      </w:r>
      <w:r>
        <w:rPr>
          <w:shd w:val="clear" w:color="auto" w:fill="FFFFFF"/>
        </w:rPr>
        <w:t xml:space="preserve"> and</w:t>
      </w:r>
      <w:r w:rsidRPr="00DB22F3">
        <w:rPr>
          <w:shd w:val="clear" w:color="auto" w:fill="FFFFFF"/>
        </w:rPr>
        <w:t xml:space="preserve"> </w:t>
      </w:r>
      <w:r>
        <w:rPr>
          <w:shd w:val="clear" w:color="auto" w:fill="FFFFFF"/>
        </w:rPr>
        <w:t>the maximum diameter of metastasis</w:t>
      </w:r>
      <w:r>
        <w:rPr>
          <w:rFonts w:eastAsia="Times New Roman"/>
        </w:rPr>
        <w:t>.</w:t>
      </w:r>
      <w:r w:rsidRPr="007719C1">
        <w:t xml:space="preserve"> </w:t>
      </w:r>
      <w:r>
        <w:t xml:space="preserve">* </w:t>
      </w:r>
      <w:r w:rsidRPr="0044617B">
        <w:t>P</w:t>
      </w:r>
      <w:r>
        <w:t xml:space="preserve"> &lt; </w:t>
      </w:r>
      <w:r w:rsidRPr="0044617B">
        <w:t>0.05; **</w:t>
      </w:r>
      <w:r>
        <w:t xml:space="preserve"> </w:t>
      </w:r>
      <w:r w:rsidRPr="0044617B">
        <w:t>P</w:t>
      </w:r>
      <w:r>
        <w:t xml:space="preserve"> &lt; </w:t>
      </w:r>
      <w:r w:rsidRPr="0044617B">
        <w:t>0.001</w:t>
      </w:r>
      <w:r>
        <w:t>.</w:t>
      </w:r>
    </w:p>
    <w:p w:rsidR="006C40BC" w:rsidRPr="007719C1" w:rsidRDefault="006C40BC" w:rsidP="006C40BC"/>
    <w:p w:rsidR="006C40BC" w:rsidRDefault="006C40BC" w:rsidP="006C40BC">
      <w:bookmarkStart w:id="5" w:name="OLE_LINK454"/>
      <w:bookmarkStart w:id="6" w:name="OLE_LINK455"/>
      <w:bookmarkStart w:id="7" w:name="OLE_LINK228"/>
      <w:bookmarkStart w:id="8" w:name="OLE_LINK229"/>
      <w:r w:rsidRPr="006C40BC">
        <w:rPr>
          <w:rFonts w:hint="eastAsia"/>
          <w:b/>
        </w:rPr>
        <w:t>S</w:t>
      </w:r>
      <w:r w:rsidRPr="006C40BC">
        <w:rPr>
          <w:b/>
        </w:rPr>
        <w:t>upplementary</w:t>
      </w:r>
      <w:bookmarkEnd w:id="5"/>
      <w:bookmarkEnd w:id="6"/>
      <w:r w:rsidRPr="006C40BC">
        <w:rPr>
          <w:b/>
        </w:rPr>
        <w:t xml:space="preserve"> </w:t>
      </w:r>
      <w:r w:rsidRPr="006C40BC">
        <w:rPr>
          <w:rFonts w:hint="eastAsia"/>
          <w:b/>
        </w:rPr>
        <w:t>Fig</w:t>
      </w:r>
      <w:r w:rsidRPr="006C40BC">
        <w:rPr>
          <w:b/>
        </w:rPr>
        <w:t>. 2</w:t>
      </w:r>
      <w:r w:rsidRPr="005C297B">
        <w:rPr>
          <w:rFonts w:hint="eastAsia"/>
          <w:b/>
        </w:rPr>
        <w:t xml:space="preserve"> Several</w:t>
      </w:r>
      <w:r w:rsidRPr="005C297B">
        <w:rPr>
          <w:b/>
        </w:rPr>
        <w:t xml:space="preserve"> interferon regulatory factor (IRF) binding sites</w:t>
      </w:r>
      <w:r w:rsidRPr="005C297B">
        <w:rPr>
          <w:rFonts w:hint="eastAsia"/>
          <w:b/>
        </w:rPr>
        <w:t xml:space="preserve"> in the</w:t>
      </w:r>
      <w:r w:rsidRPr="005C297B">
        <w:rPr>
          <w:b/>
        </w:rPr>
        <w:t xml:space="preserve"> upstream of</w:t>
      </w:r>
      <w:r>
        <w:rPr>
          <w:b/>
        </w:rPr>
        <w:t xml:space="preserve"> the</w:t>
      </w:r>
      <w:r w:rsidRPr="005C297B">
        <w:rPr>
          <w:b/>
        </w:rPr>
        <w:t xml:space="preserve"> </w:t>
      </w:r>
      <w:r w:rsidRPr="005C297B">
        <w:rPr>
          <w:rFonts w:hint="eastAsia"/>
          <w:b/>
        </w:rPr>
        <w:t>let-7a cluste</w:t>
      </w:r>
      <w:r w:rsidRPr="005C297B">
        <w:rPr>
          <w:b/>
        </w:rPr>
        <w:t>r</w:t>
      </w:r>
      <w:r w:rsidRPr="005C297B">
        <w:rPr>
          <w:rFonts w:hint="eastAsia"/>
          <w:b/>
        </w:rPr>
        <w:t xml:space="preserve"> </w:t>
      </w:r>
      <w:r w:rsidRPr="005C297B">
        <w:rPr>
          <w:b/>
        </w:rPr>
        <w:t>transcription start site (TSS).</w:t>
      </w:r>
      <w:bookmarkEnd w:id="7"/>
      <w:bookmarkEnd w:id="8"/>
      <w:r>
        <w:rPr>
          <w:rFonts w:eastAsia="Times New Roman"/>
        </w:rPr>
        <w:t xml:space="preserve"> According to the search results from</w:t>
      </w:r>
      <w:r>
        <w:rPr>
          <w:shd w:val="clear" w:color="auto" w:fill="FFFFFF"/>
        </w:rPr>
        <w:t xml:space="preserve"> t</w:t>
      </w:r>
      <w:r w:rsidRPr="009509F4">
        <w:rPr>
          <w:shd w:val="clear" w:color="auto" w:fill="FFFFFF"/>
        </w:rPr>
        <w:t>he UCSC ENCODE Genome Browser</w:t>
      </w:r>
      <w:r>
        <w:rPr>
          <w:shd w:val="clear" w:color="auto" w:fill="FFFFFF"/>
        </w:rPr>
        <w:t xml:space="preserve"> (</w:t>
      </w:r>
      <w:r w:rsidRPr="00A16040">
        <w:rPr>
          <w:shd w:val="clear" w:color="auto" w:fill="FFFFFF"/>
        </w:rPr>
        <w:t>http://genome.ucsc.edu</w:t>
      </w:r>
      <w:r>
        <w:rPr>
          <w:shd w:val="clear" w:color="auto" w:fill="FFFFFF"/>
        </w:rPr>
        <w:t>),</w:t>
      </w:r>
      <w:r w:rsidRPr="003C5630">
        <w:rPr>
          <w:shd w:val="clear" w:color="auto" w:fill="FFFFFF"/>
        </w:rPr>
        <w:t xml:space="preserve"> </w:t>
      </w:r>
      <w:r>
        <w:rPr>
          <w:shd w:val="clear" w:color="auto" w:fill="FFFFFF"/>
        </w:rPr>
        <w:t>numerous</w:t>
      </w:r>
      <w:r w:rsidRPr="009509F4">
        <w:rPr>
          <w:shd w:val="clear" w:color="auto" w:fill="FFFFFF"/>
        </w:rPr>
        <w:t xml:space="preserve"> interferon regulatory </w:t>
      </w:r>
      <w:proofErr w:type="gramStart"/>
      <w:r w:rsidRPr="009509F4">
        <w:rPr>
          <w:shd w:val="clear" w:color="auto" w:fill="FFFFFF"/>
        </w:rPr>
        <w:t>factor</w:t>
      </w:r>
      <w:proofErr w:type="gramEnd"/>
      <w:r w:rsidRPr="009509F4">
        <w:rPr>
          <w:shd w:val="clear" w:color="auto" w:fill="FFFFFF"/>
        </w:rPr>
        <w:t xml:space="preserve"> (IRF-1 and IRF-2) </w:t>
      </w:r>
      <w:r>
        <w:rPr>
          <w:shd w:val="clear" w:color="auto" w:fill="FFFFFF"/>
        </w:rPr>
        <w:t>predicted</w:t>
      </w:r>
      <w:r w:rsidRPr="009509F4">
        <w:rPr>
          <w:shd w:val="clear" w:color="auto" w:fill="FFFFFF"/>
        </w:rPr>
        <w:t xml:space="preserve"> binding sites were found to be located at </w:t>
      </w:r>
      <w:r>
        <w:rPr>
          <w:shd w:val="clear" w:color="auto" w:fill="FFFFFF"/>
        </w:rPr>
        <w:t>5</w:t>
      </w:r>
      <w:r w:rsidRPr="009509F4">
        <w:rPr>
          <w:shd w:val="clear" w:color="auto" w:fill="FFFFFF"/>
        </w:rPr>
        <w:t>-50</w:t>
      </w:r>
      <w:r>
        <w:rPr>
          <w:shd w:val="clear" w:color="auto" w:fill="FFFFFF"/>
        </w:rPr>
        <w:t xml:space="preserve"> </w:t>
      </w:r>
      <w:r w:rsidRPr="009509F4">
        <w:rPr>
          <w:shd w:val="clear" w:color="auto" w:fill="FFFFFF"/>
        </w:rPr>
        <w:t xml:space="preserve">kb upstream of the let-7a cluster </w:t>
      </w:r>
      <w:r>
        <w:rPr>
          <w:shd w:val="clear" w:color="auto" w:fill="FFFFFF"/>
        </w:rPr>
        <w:t>TSS.</w:t>
      </w:r>
    </w:p>
    <w:p w:rsidR="006C40BC" w:rsidRPr="00C411EE" w:rsidRDefault="006C40BC" w:rsidP="006C40BC"/>
    <w:p w:rsidR="009103A8" w:rsidRDefault="009103A8" w:rsidP="006C40BC"/>
    <w:sectPr w:rsidR="009103A8" w:rsidSect="006C40BC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423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0BC"/>
    <w:rsid w:val="000E329E"/>
    <w:rsid w:val="006C40BC"/>
    <w:rsid w:val="00823F62"/>
    <w:rsid w:val="009103A8"/>
    <w:rsid w:val="0094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0BC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6C40B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0BC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6C40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May, Mercy</dc:creator>
  <cp:lastModifiedBy>May, Mercy</cp:lastModifiedBy>
  <cp:revision>2</cp:revision>
  <dcterms:created xsi:type="dcterms:W3CDTF">2018-03-20T12:19:00Z</dcterms:created>
  <dcterms:modified xsi:type="dcterms:W3CDTF">2018-03-20T12:21:00Z</dcterms:modified>
</cp:coreProperties>
</file>