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480"/>
        <w:ind w:right="0" w:left="0" w:firstLine="0"/>
        <w:jc w:val="both"/>
        <w:rPr>
          <w:rFonts w:ascii="Cambria" w:hAnsi="Cambria" w:cs="Cambria" w:eastAsia="Cambria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b/>
          <w:color w:val="000000"/>
          <w:spacing w:val="0"/>
          <w:position w:val="0"/>
          <w:sz w:val="24"/>
          <w:shd w:fill="auto" w:val="clear"/>
        </w:rPr>
        <w:t xml:space="preserve">Supplementary figure legends</w:t>
      </w:r>
    </w:p>
    <w:p>
      <w:pPr>
        <w:spacing w:before="0" w:after="200" w:line="48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Figure S1: Gene expression pathways represented in the NanoString Mouse Immunology panel.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KEGG database pathway analysis of Cytokine-Cytokine Receptor (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), NF-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κB (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b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), TNFA (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c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) and TLR (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d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) signalling pathways, with genes included in the NanoString analysis coloured in green. Genes in white were not represented on the NanoString code set.</w:t>
      </w:r>
    </w:p>
    <w:p>
      <w:pPr>
        <w:spacing w:before="0" w:after="200" w:line="48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200" w:line="48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Figure S2: Strategy for selection of internal control genes following the geNorm method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. (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) The 14 candidate control genes provided by Nanostring were ordered by increasing M value, i.e., by decreasing correlation with the other candidate control genes (see Materials and Methods). (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b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to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c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) Normalization factors arising from addition of one control gene were compared for each addition (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b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), and consecutive Pearson’s correlation coefficients were computed and are shown in the graph (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c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). </w:t>
      </w:r>
    </w:p>
    <w:p>
      <w:pPr>
        <w:spacing w:before="0" w:after="200" w:line="48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200" w:line="48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Figure S3: Only </w:t>
      </w:r>
      <w:r>
        <w:rPr>
          <w:rFonts w:ascii="Times New Roman" w:hAnsi="Times New Roman" w:cs="Times New Roman" w:eastAsia="Times New Roman"/>
          <w:b/>
          <w:i/>
          <w:color w:val="000000"/>
          <w:spacing w:val="0"/>
          <w:position w:val="0"/>
          <w:sz w:val="24"/>
          <w:shd w:fill="auto" w:val="clear"/>
        </w:rPr>
        <w:t xml:space="preserve">Ifnb1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RNA is consistently expressed by ATG5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  <w:vertAlign w:val="superscript"/>
        </w:rPr>
        <w:t xml:space="preserve">DD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cells after IAV PR8 infection.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ATG5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  <w:vertAlign w:val="superscript"/>
        </w:rPr>
        <w:t xml:space="preserve">DD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cells, pre-treated for 16 h with Shield1 (Sh1), were infected with IAV PR8 at MOI 3 for 4 or 12 h after which RNA was extracted. RNA levels were quantified using Nanostring nCounter technology. Expression of type I (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), type II (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b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), and type III (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c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) interferons are depicted. Dashed lines represent the lower limit of quantification of the assay. A threshold of 10 was used for visualization purposes, hence points below 10 overlap at 10.</w:t>
      </w:r>
    </w:p>
    <w:p>
      <w:pPr>
        <w:spacing w:before="0" w:after="200" w:line="48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200" w:line="48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Figure S4: ATG5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  <w:vertAlign w:val="superscript"/>
        </w:rPr>
        <w:t xml:space="preserve">DD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stabilization does not impact cellular ROS levels.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(a, b)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ATG5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  <w:vertAlign w:val="superscript"/>
        </w:rPr>
        <w:t xml:space="preserve">DD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-expressing ATG5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  <w:vertAlign w:val="superscript"/>
        </w:rPr>
        <w:t xml:space="preserve">–/–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cells, treated or not with Shield1 (Sh1) for 24 h were treated with 20 µM DCFDA in the last 4 h of Sh1 treatment with or without N-acetyl-cysteine (NAC), an antioxidant. DCF fluorescence was monitored by flow cytometry representative histograms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(a)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and bar graph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(b)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are shown.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(c, d)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Mitochondrial ROS were monitored by flow cytometry using mitoSOX after treating ATG5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  <w:vertAlign w:val="superscript"/>
        </w:rPr>
        <w:t xml:space="preserve">DD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-expressing ATG5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  <w:vertAlign w:val="superscript"/>
        </w:rPr>
        <w:t xml:space="preserve">–/–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cells with Sh1 or vehicle for 24 h. Representative histograms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(c)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and bar graph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(d)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are shown. Graphs show mean and standard deviation of triplicates, and data are representative of two experiments. ns, not significant (one-tailed unpaired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  <w:t xml:space="preserve">t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-test followed by Holm’s multiple testing correction).</w:t>
      </w:r>
    </w:p>
    <w:p>
      <w:pPr>
        <w:spacing w:before="0" w:after="200" w:line="48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200" w:line="48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Figure S5: Stabilization of ATG7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  <w:vertAlign w:val="superscript"/>
        </w:rPr>
        <w:t xml:space="preserve">DD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in </w:t>
      </w:r>
      <w:r>
        <w:rPr>
          <w:rFonts w:ascii="Times New Roman" w:hAnsi="Times New Roman" w:cs="Times New Roman" w:eastAsia="Times New Roman"/>
          <w:b/>
          <w:i/>
          <w:color w:val="000000"/>
          <w:spacing w:val="0"/>
          <w:position w:val="0"/>
          <w:sz w:val="24"/>
          <w:shd w:fill="auto" w:val="clear"/>
        </w:rPr>
        <w:t xml:space="preserve">Atg7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  <w:vertAlign w:val="superscript"/>
        </w:rPr>
        <w:t xml:space="preserve">–/–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cells but not of ATG5K130R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  <w:vertAlign w:val="superscript"/>
        </w:rPr>
        <w:t xml:space="preserve">DD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in </w:t>
      </w:r>
      <w:r>
        <w:rPr>
          <w:rFonts w:ascii="Times New Roman" w:hAnsi="Times New Roman" w:cs="Times New Roman" w:eastAsia="Times New Roman"/>
          <w:b/>
          <w:i/>
          <w:color w:val="000000"/>
          <w:spacing w:val="0"/>
          <w:position w:val="0"/>
          <w:sz w:val="24"/>
          <w:shd w:fill="auto" w:val="clear"/>
        </w:rPr>
        <w:t xml:space="preserve">Atg5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  <w:vertAlign w:val="superscript"/>
        </w:rPr>
        <w:t xml:space="preserve">–/–</w:t>
      </w:r>
      <w:r>
        <w:rPr>
          <w:rFonts w:ascii="Times New Roman" w:hAnsi="Times New Roman" w:cs="Times New Roman" w:eastAsia="Times New Roman"/>
          <w:b/>
          <w:i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cells induces autophagy capacity.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  <w:t xml:space="preserve">Atg5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  <w:vertAlign w:val="superscript"/>
        </w:rPr>
        <w:t xml:space="preserve">–/–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cells expressing ATG5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  <w:vertAlign w:val="superscript"/>
        </w:rPr>
        <w:t xml:space="preserve">DD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  <w:t xml:space="preserve">Atg5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  <w:vertAlign w:val="superscript"/>
        </w:rPr>
        <w:t xml:space="preserve">–/–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cells expressing ATG5K130R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  <w:vertAlign w:val="superscript"/>
        </w:rPr>
        <w:t xml:space="preserve">DD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, or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  <w:t xml:space="preserve">Atg7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  <w:vertAlign w:val="superscript"/>
        </w:rPr>
        <w:t xml:space="preserve">–/–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cells expressing ATG7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  <w:vertAlign w:val="superscript"/>
        </w:rPr>
        <w:t xml:space="preserve">DD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,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were treated or not with Shield1 (Sh1) for 20 h before immunoblotting was performed using anti-ATG5, anti-ATG7, anti-LC3, and anti-GAPDH antibodies. </w:t>
      </w:r>
    </w:p>
    <w:p>
      <w:pPr>
        <w:spacing w:before="0" w:after="200" w:line="48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200" w:line="48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Figure S6: Detection power of RT–qPCR for </w:t>
      </w:r>
      <w:r>
        <w:rPr>
          <w:rFonts w:ascii="Times New Roman" w:hAnsi="Times New Roman" w:cs="Times New Roman" w:eastAsia="Times New Roman"/>
          <w:b/>
          <w:i/>
          <w:color w:val="000000"/>
          <w:spacing w:val="0"/>
          <w:position w:val="0"/>
          <w:sz w:val="24"/>
          <w:shd w:fill="auto" w:val="clear"/>
        </w:rPr>
        <w:t xml:space="preserve">Hprt1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b/>
          <w:i/>
          <w:color w:val="000000"/>
          <w:spacing w:val="0"/>
          <w:position w:val="0"/>
          <w:sz w:val="24"/>
          <w:shd w:fill="auto" w:val="clear"/>
        </w:rPr>
        <w:t xml:space="preserve">Ifnb1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b/>
          <w:i/>
          <w:color w:val="000000"/>
          <w:spacing w:val="0"/>
          <w:position w:val="0"/>
          <w:sz w:val="24"/>
          <w:shd w:fill="auto" w:val="clear"/>
        </w:rPr>
        <w:t xml:space="preserve">Cxcl10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and </w:t>
      </w:r>
      <w:r>
        <w:rPr>
          <w:rFonts w:ascii="Times New Roman" w:hAnsi="Times New Roman" w:cs="Times New Roman" w:eastAsia="Times New Roman"/>
          <w:b/>
          <w:i/>
          <w:color w:val="000000"/>
          <w:spacing w:val="0"/>
          <w:position w:val="0"/>
          <w:sz w:val="24"/>
          <w:shd w:fill="auto" w:val="clear"/>
        </w:rPr>
        <w:t xml:space="preserve">Cd274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.</w:t>
        <w:br/>
        <w:t xml:space="preserve">(a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and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b)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 ATG5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  <w:vertAlign w:val="superscript"/>
        </w:rPr>
        <w:t xml:space="preserve">DD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cells treated with Shield1 were infected with IAV at MOI 3 for 4 h before RNA extraction. For each RNA product, 6 different RT–qPCRs were performed for the specified gene. Threshold cycle (Ct) values (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) and standard deviation of Ct are shown for each gene (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b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). (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c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) After estimation of the standard deviation of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ΔCt values, shown is the power curve giving the number of technical replicates required to detect different fold changes with 80% power at a confidence level of 95%; e.g., 3 replicates allow the detection of a ~1.4-fold change (dashed line). </w:t>
      </w:r>
    </w:p>
    <w:p>
      <w:pPr>
        <w:spacing w:before="0" w:after="200" w:line="48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200" w:line="48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Table S1: Genes most impacted by autophagy capacity.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  <w:t xml:space="preserve">p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-values were determined by two-tailed paired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  <w:t xml:space="preserve">t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-tests comparing control vs Shield1-treated cells, and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  <w:t xml:space="preserve">z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-values were subsequently computed (see Materials and Methods for formula).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  <w:t xml:space="preserve">q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-values correspond to false-discovery rate. The 100 genes with smallest p-values at 4 h and 12 h post-infection are listed. In red are the 44 genes, present in the gene sets of both this study and the whole-blood study,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  <w:vertAlign w:val="superscript"/>
        </w:rPr>
        <w:t xml:space="preserve">41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that were weighted by their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  <w:t xml:space="preserve">t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-statistic to distinguish between a type I and a type II interferon response, with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  <w:t xml:space="preserve">p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-value &lt; 0.05 at 12 h post-infection. FC, fold change.</w:t>
      </w:r>
    </w:p>
    <w:p>
      <w:pPr>
        <w:spacing w:before="0" w:after="200" w:line="276"/>
        <w:ind w:right="0" w:left="0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