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4F" w:rsidRPr="00861D25" w:rsidRDefault="00E32B4F" w:rsidP="00E32B4F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861D25">
        <w:rPr>
          <w:rFonts w:ascii="Times New Roman" w:eastAsia="宋体" w:hAnsi="Times New Roman" w:cs="Times New Roman"/>
          <w:b/>
          <w:bCs/>
          <w:kern w:val="0"/>
          <w:sz w:val="24"/>
        </w:rPr>
        <w:t>Supplementary Fig. 1. Liver injuries in CCl</w:t>
      </w:r>
      <w:r w:rsidRPr="00861D25">
        <w:rPr>
          <w:rFonts w:ascii="Times New Roman" w:eastAsia="宋体" w:hAnsi="Times New Roman" w:cs="Times New Roman"/>
          <w:b/>
          <w:bCs/>
          <w:kern w:val="0"/>
          <w:sz w:val="16"/>
        </w:rPr>
        <w:t>4</w:t>
      </w:r>
      <w:r w:rsidRPr="00861D25">
        <w:rPr>
          <w:rFonts w:ascii="Times New Roman" w:eastAsia="宋体" w:hAnsi="Times New Roman" w:cs="Times New Roman"/>
          <w:b/>
          <w:bCs/>
          <w:kern w:val="0"/>
          <w:sz w:val="24"/>
        </w:rPr>
        <w:t>-treated rats and human cirrhosis samples</w:t>
      </w:r>
      <w:r w:rsidRPr="00861D2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/>
      </w:r>
      <w:r w:rsidRPr="00861D25">
        <w:rPr>
          <w:rFonts w:ascii="Times New Roman" w:eastAsia="宋体" w:hAnsi="Times New Roman" w:cs="Times New Roman"/>
          <w:kern w:val="0"/>
          <w:sz w:val="24"/>
        </w:rPr>
        <w:t>(a) Body weight and (b) liver weight of rats treated with CCl</w:t>
      </w:r>
      <w:r w:rsidRPr="00861D25">
        <w:rPr>
          <w:rFonts w:ascii="Times New Roman" w:eastAsia="宋体" w:hAnsi="Times New Roman" w:cs="Times New Roman"/>
          <w:kern w:val="0"/>
          <w:sz w:val="16"/>
        </w:rPr>
        <w:t xml:space="preserve">4 </w:t>
      </w:r>
      <w:r w:rsidRPr="00861D25">
        <w:rPr>
          <w:rFonts w:ascii="Times New Roman" w:eastAsia="宋体" w:hAnsi="Times New Roman" w:cs="Times New Roman"/>
          <w:kern w:val="0"/>
          <w:sz w:val="24"/>
        </w:rPr>
        <w:t>or olive oil for 2, 4, 6,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61D25">
        <w:rPr>
          <w:rFonts w:ascii="Times New Roman" w:eastAsia="宋体" w:hAnsi="Times New Roman" w:cs="Times New Roman"/>
          <w:kern w:val="0"/>
          <w:sz w:val="24"/>
        </w:rPr>
        <w:t>and 8 weeks. (c) FN expression in rats treated with CCl</w:t>
      </w:r>
      <w:r w:rsidRPr="00861D25">
        <w:rPr>
          <w:rFonts w:ascii="Times New Roman" w:eastAsia="宋体" w:hAnsi="Times New Roman" w:cs="Times New Roman"/>
          <w:kern w:val="0"/>
          <w:sz w:val="16"/>
        </w:rPr>
        <w:t xml:space="preserve">4 </w:t>
      </w:r>
      <w:r w:rsidRPr="00861D25">
        <w:rPr>
          <w:rFonts w:ascii="Times New Roman" w:eastAsia="宋体" w:hAnsi="Times New Roman" w:cs="Times New Roman"/>
          <w:kern w:val="0"/>
          <w:sz w:val="24"/>
        </w:rPr>
        <w:t>or olive oil for 8 weeks and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(d) </w:t>
      </w:r>
      <w:r w:rsidRPr="00861D25">
        <w:rPr>
          <w:rFonts w:ascii="Times New Roman" w:eastAsia="宋体" w:hAnsi="Times New Roman" w:cs="Times New Roman"/>
          <w:kern w:val="0"/>
          <w:sz w:val="24"/>
        </w:rPr>
        <w:t>Cumulative densitometric analyses of FN expression using Western blotting in rat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61D25">
        <w:rPr>
          <w:rFonts w:ascii="Times New Roman" w:eastAsia="宋体" w:hAnsi="Times New Roman" w:cs="Times New Roman"/>
          <w:kern w:val="0"/>
          <w:sz w:val="24"/>
        </w:rPr>
        <w:t>liver samples. (e) Expression of FN in livers of cirrhosis patients or healthy controls and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61D25">
        <w:rPr>
          <w:rFonts w:ascii="Times New Roman" w:eastAsia="宋体" w:hAnsi="Times New Roman" w:cs="Times New Roman"/>
          <w:kern w:val="0"/>
          <w:sz w:val="24"/>
        </w:rPr>
        <w:t>(f) Cumulative densitometric analyses of FN expression using western blotting in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61D25">
        <w:rPr>
          <w:rFonts w:ascii="Times New Roman" w:eastAsia="宋体" w:hAnsi="Times New Roman" w:cs="Times New Roman"/>
          <w:kern w:val="0"/>
          <w:sz w:val="24"/>
        </w:rPr>
        <w:t>human liver samples. Relative expression levels are shown as the means ± s.e.m.</w:t>
      </w:r>
      <w:r w:rsidRPr="00861D2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861D25">
        <w:rPr>
          <w:rFonts w:ascii="Times New Roman" w:eastAsia="宋体" w:hAnsi="Times New Roman" w:cs="Times New Roman"/>
          <w:kern w:val="0"/>
          <w:sz w:val="24"/>
        </w:rPr>
        <w:t>(unpaired two-sample Student’s t-test, * P &lt; 0.05 and ** P &lt; 0.01).</w:t>
      </w:r>
    </w:p>
    <w:p w:rsidR="00E32B4F" w:rsidRPr="00861D25" w:rsidRDefault="00E32B4F" w:rsidP="00E32B4F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</w:p>
    <w:p w:rsidR="00E32B4F" w:rsidRPr="00861D25" w:rsidRDefault="00E32B4F" w:rsidP="00E32B4F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861D25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Supplementary Fig. 2. miR-214 </w:t>
      </w:r>
      <w:r w:rsidRPr="00861D25">
        <w:rPr>
          <w:rFonts w:ascii="Times New Roman" w:hAnsi="Times New Roman" w:cs="Times New Roman"/>
          <w:b/>
          <w:bCs/>
          <w:sz w:val="24"/>
          <w:szCs w:val="24"/>
        </w:rPr>
        <w:t>regulates fibrotic gene expression and promotes LX2 cell proliferation</w:t>
      </w:r>
      <w:r w:rsidRPr="00861D25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 </w:t>
      </w:r>
    </w:p>
    <w:p w:rsidR="00E32B4F" w:rsidRPr="00861D25" w:rsidRDefault="00E32B4F" w:rsidP="00E32B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1D25">
        <w:rPr>
          <w:rFonts w:ascii="Times New Roman" w:hAnsi="Times New Roman" w:cs="Times New Roman"/>
          <w:sz w:val="24"/>
          <w:szCs w:val="24"/>
        </w:rPr>
        <w:t>(a) Knockdown of miR-214 expression by transfection with antagomiR-214 or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NC-miR in LX2 cells and (b) the protein level of FN was detected by Western blotting. (c)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Proliferation of LX2 cells was measured using colony formation assay after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transfection with antagomiR-214. (d) miR-214 overexpression in LX2 cells by mimics or NC-miR and (e) the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protein expression of FN was detected by Western blotting. (f) Proliferation of LX2 cells was measured using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colony formation assay after transfection with miR-214 mimics. (g) Morphology of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rat HSCs and (h) LX2 cells after transfection with antagomiR-214 or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 xml:space="preserve">NC-miR at 40x or 100x magnification. (i-k) Knockdown of miR-214 </w:t>
      </w:r>
      <w:r w:rsidRPr="00861D25">
        <w:rPr>
          <w:rFonts w:ascii="Times New Roman" w:hAnsi="Times New Roman" w:cs="Times New Roman"/>
          <w:sz w:val="24"/>
          <w:szCs w:val="24"/>
        </w:rPr>
        <w:lastRenderedPageBreak/>
        <w:t>in rat HSCs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increased the proportion of cells in G1 phase but decreased the proportion of cells in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G2 phase as examined using flow cytometry. Relative expression levels are shown as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the means ± s.e.m. obtained from triplicate experiments (unpaired two-sample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 xml:space="preserve">Student’s t-test, * </w:t>
      </w:r>
      <w:r w:rsidRPr="00861D2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61D25">
        <w:rPr>
          <w:rFonts w:ascii="Times New Roman" w:hAnsi="Times New Roman" w:cs="Times New Roman"/>
          <w:sz w:val="24"/>
          <w:szCs w:val="24"/>
        </w:rPr>
        <w:t xml:space="preserve">&lt; 0.05 and ** </w:t>
      </w:r>
      <w:r w:rsidRPr="00861D2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61D25">
        <w:rPr>
          <w:rFonts w:ascii="Times New Roman" w:hAnsi="Times New Roman" w:cs="Times New Roman"/>
          <w:sz w:val="24"/>
          <w:szCs w:val="24"/>
        </w:rPr>
        <w:t>&lt; 0.01).</w:t>
      </w:r>
    </w:p>
    <w:p w:rsidR="00E32B4F" w:rsidRPr="00861D25" w:rsidRDefault="00E32B4F" w:rsidP="00E32B4F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861D25">
        <w:rPr>
          <w:rFonts w:ascii="Times New Roman" w:hAnsi="Times New Roman" w:cs="Times New Roman"/>
        </w:rPr>
        <w:br/>
      </w:r>
      <w:r w:rsidRPr="00861D25">
        <w:rPr>
          <w:rFonts w:ascii="Times New Roman" w:eastAsia="宋体" w:hAnsi="Times New Roman" w:cs="Times New Roman"/>
          <w:b/>
          <w:bCs/>
          <w:kern w:val="0"/>
          <w:sz w:val="24"/>
        </w:rPr>
        <w:t>Supplementary Fig. 3. miR-214 directly targets 3’-UTR of Sufu mRNA in HSCs</w:t>
      </w:r>
    </w:p>
    <w:p w:rsidR="00652B5C" w:rsidRPr="00E32B4F" w:rsidRDefault="00E32B4F" w:rsidP="00E32B4F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861D25">
        <w:rPr>
          <w:rFonts w:ascii="Times New Roman" w:hAnsi="Times New Roman" w:cs="Times New Roman"/>
          <w:sz w:val="24"/>
          <w:szCs w:val="24"/>
        </w:rPr>
        <w:t>Dual-luciferase reporter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>assays were performed to verify the binding between miR-214 and rat sufu mRNA (a) or between miR-214</w:t>
      </w:r>
      <w:r w:rsidRPr="00861D25">
        <w:rPr>
          <w:rFonts w:ascii="Times New Roman" w:hAnsi="Times New Roman" w:cs="Times New Roman"/>
        </w:rPr>
        <w:t xml:space="preserve"> </w:t>
      </w:r>
      <w:r w:rsidRPr="00861D25">
        <w:rPr>
          <w:rFonts w:ascii="Times New Roman" w:hAnsi="Times New Roman" w:cs="Times New Roman"/>
          <w:sz w:val="24"/>
          <w:szCs w:val="24"/>
        </w:rPr>
        <w:t xml:space="preserve">and mouse sufu mRNA (b). HSCs were co-transfected with luciferase reporter with either wild-type (wt) or mutant (mut) 3’-UTR of Sufu mRNA and either miR-214 mimics or negative control (NC). Relative luciferase activity (RLU) was shown as the means ± S.E.M. obtained from triplicate experiments (two-sample Student’s t-test, ** </w:t>
      </w:r>
      <w:r w:rsidRPr="00861D2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861D25">
        <w:rPr>
          <w:rFonts w:ascii="Times New Roman" w:hAnsi="Times New Roman" w:cs="Times New Roman"/>
          <w:sz w:val="24"/>
          <w:szCs w:val="24"/>
        </w:rPr>
        <w:t>&lt; 0.0</w:t>
      </w:r>
      <w:bookmarkStart w:id="0" w:name="_GoBack"/>
      <w:bookmarkEnd w:id="0"/>
      <w:r w:rsidRPr="00861D25">
        <w:rPr>
          <w:rFonts w:ascii="Times New Roman" w:hAnsi="Times New Roman" w:cs="Times New Roman"/>
          <w:sz w:val="24"/>
          <w:szCs w:val="24"/>
        </w:rPr>
        <w:t>1)</w:t>
      </w:r>
    </w:p>
    <w:sectPr w:rsidR="00652B5C" w:rsidRPr="00E32B4F" w:rsidSect="00522BD6">
      <w:headerReference w:type="even" r:id="rId5"/>
      <w:headerReference w:type="default" r:id="rId6"/>
      <w:footerReference w:type="default" r:id="rId7"/>
      <w:pgSz w:w="12242" w:h="15842" w:code="15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097565"/>
      <w:docPartObj>
        <w:docPartGallery w:val="Page Numbers (Bottom of Page)"/>
        <w:docPartUnique/>
      </w:docPartObj>
    </w:sdtPr>
    <w:sdtEndPr/>
    <w:sdtContent>
      <w:p w:rsidR="00AA2BD7" w:rsidRDefault="00E32B4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32B4F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A2BD7" w:rsidRDefault="00E32B4F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BD7" w:rsidRDefault="00E32B4F" w:rsidP="0099392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BD7" w:rsidRDefault="00E32B4F" w:rsidP="0099392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revisionView w:comment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4F"/>
    <w:rsid w:val="004B6F85"/>
    <w:rsid w:val="00914CCE"/>
    <w:rsid w:val="00E3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4F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2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2B4F"/>
    <w:rPr>
      <w:sz w:val="18"/>
      <w:szCs w:val="18"/>
    </w:rPr>
  </w:style>
  <w:style w:type="paragraph" w:styleId="a4">
    <w:name w:val="footer"/>
    <w:basedOn w:val="a"/>
    <w:link w:val="Char0"/>
    <w:uiPriority w:val="99"/>
    <w:rsid w:val="00E32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B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4F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2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2B4F"/>
    <w:rPr>
      <w:sz w:val="18"/>
      <w:szCs w:val="18"/>
    </w:rPr>
  </w:style>
  <w:style w:type="paragraph" w:styleId="a4">
    <w:name w:val="footer"/>
    <w:basedOn w:val="a"/>
    <w:link w:val="Char0"/>
    <w:uiPriority w:val="99"/>
    <w:rsid w:val="00E32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2B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</dc:creator>
  <cp:lastModifiedBy>Peng</cp:lastModifiedBy>
  <cp:revision>1</cp:revision>
  <dcterms:created xsi:type="dcterms:W3CDTF">2018-06-01T02:12:00Z</dcterms:created>
  <dcterms:modified xsi:type="dcterms:W3CDTF">2018-06-01T02:15:00Z</dcterms:modified>
</cp:coreProperties>
</file>