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6BD1" w:rsidRDefault="00846BD1" w:rsidP="00846BD1">
      <w:pPr>
        <w:spacing w:after="0" w:line="480" w:lineRule="auto"/>
        <w:rPr>
          <w:rFonts w:ascii="Arial" w:hAnsi="Arial" w:cs="Arial"/>
          <w:b/>
          <w:noProof/>
        </w:rPr>
      </w:pPr>
      <w:r>
        <w:rPr>
          <w:rFonts w:ascii="Arial" w:hAnsi="Arial" w:cs="Arial"/>
          <w:b/>
          <w:noProof/>
        </w:rPr>
        <w:t>Supplemental Figures</w:t>
      </w:r>
    </w:p>
    <w:p w:rsidR="00846BD1" w:rsidRDefault="00846BD1" w:rsidP="00846BD1">
      <w:pPr>
        <w:spacing w:after="0" w:line="480" w:lineRule="auto"/>
        <w:rPr>
          <w:rFonts w:ascii="Arial" w:hAnsi="Arial" w:cs="Arial"/>
          <w:b/>
          <w:noProof/>
        </w:rPr>
      </w:pPr>
    </w:p>
    <w:p w:rsidR="005B40C3" w:rsidRDefault="00846BD1" w:rsidP="005B40C3">
      <w:pPr>
        <w:spacing w:after="0" w:line="480" w:lineRule="auto"/>
        <w:rPr>
          <w:rFonts w:ascii="Arial" w:hAnsi="Arial" w:cs="Arial"/>
          <w:b/>
          <w:noProof/>
        </w:rPr>
      </w:pPr>
      <w:r>
        <w:rPr>
          <w:rFonts w:ascii="Arial" w:hAnsi="Arial" w:cs="Arial"/>
          <w:b/>
          <w:noProof/>
        </w:rPr>
        <w:t>Supplemental Figure 1</w:t>
      </w:r>
      <w:r w:rsidRPr="00727D01">
        <w:rPr>
          <w:rFonts w:ascii="Arial" w:hAnsi="Arial" w:cs="Arial"/>
          <w:b/>
          <w:noProof/>
        </w:rPr>
        <w:t xml:space="preserve">. </w:t>
      </w:r>
      <w:r w:rsidR="005B40C3">
        <w:rPr>
          <w:rFonts w:ascii="Arial" w:hAnsi="Arial" w:cs="Arial"/>
          <w:b/>
          <w:noProof/>
        </w:rPr>
        <w:t>Increased TUNEL Staining Following Targeted Type II Alveolar Epithelial Cell Injury.</w:t>
      </w:r>
    </w:p>
    <w:p w:rsidR="00846BD1" w:rsidRPr="00727D01" w:rsidRDefault="005B40C3" w:rsidP="005B40C3">
      <w:pPr>
        <w:spacing w:after="0" w:line="480" w:lineRule="auto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WT mice (</w:t>
      </w:r>
      <w:r w:rsidRPr="005B40C3">
        <w:rPr>
          <w:rFonts w:ascii="Arial" w:hAnsi="Arial" w:cs="Arial"/>
          <w:b/>
          <w:noProof/>
        </w:rPr>
        <w:t>A</w:t>
      </w:r>
      <w:r>
        <w:rPr>
          <w:rFonts w:ascii="Arial" w:hAnsi="Arial" w:cs="Arial"/>
          <w:noProof/>
        </w:rPr>
        <w:t>) or transgenic SPC-DTR mice (</w:t>
      </w:r>
      <w:r>
        <w:rPr>
          <w:rFonts w:ascii="Arial" w:hAnsi="Arial" w:cs="Arial"/>
          <w:b/>
          <w:noProof/>
        </w:rPr>
        <w:t>B</w:t>
      </w:r>
      <w:r>
        <w:rPr>
          <w:rFonts w:ascii="Arial" w:hAnsi="Arial" w:cs="Arial"/>
          <w:noProof/>
        </w:rPr>
        <w:t xml:space="preserve">) were treated with daily doses of diphtheria toxin (DT, 10 µg/kg i.p.) for 14 days. Lungs were stained for TUNEL (red) and pro-SPC (green). Several TUNEL/pro-SPC co-positive cells are indicated (arrows). </w:t>
      </w:r>
    </w:p>
    <w:p w:rsidR="00846BD1" w:rsidRDefault="00846BD1" w:rsidP="00846BD1">
      <w:pPr>
        <w:spacing w:after="0" w:line="480" w:lineRule="auto"/>
        <w:rPr>
          <w:rFonts w:ascii="Arial" w:hAnsi="Arial" w:cs="Arial"/>
          <w:noProof/>
        </w:rPr>
      </w:pPr>
    </w:p>
    <w:p w:rsidR="00F57ACD" w:rsidRDefault="00F57ACD" w:rsidP="00846BD1">
      <w:pPr>
        <w:spacing w:after="0" w:line="480" w:lineRule="auto"/>
        <w:rPr>
          <w:rFonts w:ascii="Arial" w:hAnsi="Arial" w:cs="Arial"/>
          <w:noProof/>
        </w:rPr>
      </w:pPr>
      <w:r w:rsidRPr="00F57ACD">
        <w:rPr>
          <w:rFonts w:ascii="Arial" w:hAnsi="Arial" w:cs="Arial"/>
          <w:b/>
          <w:noProof/>
        </w:rPr>
        <w:t>Supplemental Figure 2</w:t>
      </w:r>
      <w:r>
        <w:rPr>
          <w:rFonts w:ascii="Arial" w:hAnsi="Arial" w:cs="Arial"/>
          <w:noProof/>
        </w:rPr>
        <w:t xml:space="preserve">. Surface expression of phosphatidylserine was determine by labeling with FITC-conjugated annexin V and flow cytometry 24 hours after AECs were treated with or without UV light. </w:t>
      </w:r>
    </w:p>
    <w:p w:rsidR="00F57ACD" w:rsidRDefault="00F57ACD" w:rsidP="00846BD1">
      <w:pPr>
        <w:spacing w:after="0" w:line="480" w:lineRule="auto"/>
        <w:rPr>
          <w:rFonts w:ascii="Arial" w:hAnsi="Arial" w:cs="Arial"/>
          <w:noProof/>
        </w:rPr>
      </w:pPr>
    </w:p>
    <w:p w:rsidR="00846BD1" w:rsidRDefault="00F57ACD" w:rsidP="00846BD1">
      <w:pPr>
        <w:spacing w:after="0" w:line="480" w:lineRule="auto"/>
        <w:rPr>
          <w:rFonts w:ascii="Arial" w:hAnsi="Arial" w:cs="Arial"/>
          <w:noProof/>
        </w:rPr>
      </w:pPr>
      <w:r>
        <w:rPr>
          <w:rFonts w:ascii="Arial" w:hAnsi="Arial" w:cs="Arial"/>
          <w:b/>
          <w:noProof/>
        </w:rPr>
        <w:t>Supplemental Figure 3</w:t>
      </w:r>
      <w:r w:rsidR="00846BD1" w:rsidRPr="00386FA1">
        <w:rPr>
          <w:rFonts w:ascii="Arial" w:hAnsi="Arial" w:cs="Arial"/>
          <w:b/>
          <w:noProof/>
        </w:rPr>
        <w:t>. Efferocytosis of UV</w:t>
      </w:r>
      <w:r w:rsidR="00846BD1">
        <w:rPr>
          <w:rFonts w:ascii="Arial" w:hAnsi="Arial" w:cs="Arial"/>
          <w:b/>
          <w:noProof/>
        </w:rPr>
        <w:t>-</w:t>
      </w:r>
      <w:r w:rsidR="00846BD1" w:rsidRPr="00386FA1">
        <w:rPr>
          <w:rFonts w:ascii="Arial" w:hAnsi="Arial" w:cs="Arial"/>
          <w:b/>
          <w:noProof/>
        </w:rPr>
        <w:t xml:space="preserve">treated </w:t>
      </w:r>
      <w:r w:rsidR="005B40C3">
        <w:rPr>
          <w:rFonts w:ascii="Arial" w:hAnsi="Arial" w:cs="Arial"/>
          <w:b/>
          <w:noProof/>
        </w:rPr>
        <w:t>AECs versus UV-treated Jurkat Cells</w:t>
      </w:r>
      <w:r w:rsidR="00846BD1" w:rsidRPr="00386FA1">
        <w:rPr>
          <w:rFonts w:ascii="Arial" w:hAnsi="Arial" w:cs="Arial"/>
          <w:b/>
          <w:noProof/>
        </w:rPr>
        <w:t>.</w:t>
      </w:r>
      <w:r w:rsidR="00846BD1">
        <w:rPr>
          <w:rFonts w:ascii="Arial" w:hAnsi="Arial" w:cs="Arial"/>
          <w:noProof/>
        </w:rPr>
        <w:t xml:space="preserve"> </w:t>
      </w:r>
    </w:p>
    <w:p w:rsidR="005B40C3" w:rsidRDefault="005B40C3" w:rsidP="00846BD1">
      <w:pPr>
        <w:spacing w:after="0" w:line="480" w:lineRule="auto"/>
        <w:rPr>
          <w:rFonts w:ascii="Arial" w:hAnsi="Arial" w:cs="Arial"/>
          <w:noProof/>
        </w:rPr>
      </w:pPr>
      <w:r>
        <w:rPr>
          <w:rFonts w:ascii="Arial" w:hAnsi="Arial" w:cs="Arial"/>
          <w:b/>
          <w:noProof/>
        </w:rPr>
        <w:t>A</w:t>
      </w:r>
      <w:r w:rsidRPr="00727D01">
        <w:rPr>
          <w:rFonts w:ascii="Arial" w:hAnsi="Arial" w:cs="Arial"/>
          <w:b/>
          <w:noProof/>
        </w:rPr>
        <w:t>.</w:t>
      </w:r>
      <w:r>
        <w:rPr>
          <w:rFonts w:ascii="Arial" w:hAnsi="Arial" w:cs="Arial"/>
          <w:noProof/>
        </w:rPr>
        <w:t xml:space="preserve"> RT-qPCR expression analysis of cultured primary alveolar macrophages treated with or without UV-treated primary AECs or UV-treated Jurkat cells for 24 hours. </w:t>
      </w:r>
      <w:r>
        <w:rPr>
          <w:rFonts w:ascii="Arial" w:hAnsi="Arial" w:cs="Arial"/>
          <w:b/>
          <w:noProof/>
        </w:rPr>
        <w:t>B</w:t>
      </w:r>
      <w:r w:rsidRPr="00727D01">
        <w:rPr>
          <w:rFonts w:ascii="Arial" w:hAnsi="Arial" w:cs="Arial"/>
          <w:b/>
          <w:noProof/>
        </w:rPr>
        <w:t>.</w:t>
      </w:r>
      <w:r>
        <w:rPr>
          <w:rFonts w:ascii="Arial" w:hAnsi="Arial" w:cs="Arial"/>
          <w:noProof/>
        </w:rPr>
        <w:t xml:space="preserve"> TGFβ ELISA of conditioned media from alveolar macrophages treated with or without UV-treated primary AECs or UV-treated Jurkat cells for 24 hours. N=4, *p&lt;0.05 compared to macrophages stimulated with UV-treated AECs. </w:t>
      </w:r>
      <w:r>
        <w:rPr>
          <w:rFonts w:ascii="Arial" w:hAnsi="Arial" w:cs="Arial"/>
          <w:b/>
          <w:noProof/>
        </w:rPr>
        <w:t>C</w:t>
      </w:r>
      <w:r w:rsidR="00846BD1" w:rsidRPr="00727D01">
        <w:rPr>
          <w:rFonts w:ascii="Arial" w:hAnsi="Arial" w:cs="Arial"/>
          <w:b/>
          <w:noProof/>
        </w:rPr>
        <w:t>.</w:t>
      </w:r>
      <w:r w:rsidR="00846BD1">
        <w:rPr>
          <w:rFonts w:ascii="Arial" w:hAnsi="Arial" w:cs="Arial"/>
          <w:noProof/>
        </w:rPr>
        <w:t xml:space="preserve"> Hydroxyproline assay of lungs from mice treated with three times weekly doses of PBS</w:t>
      </w:r>
      <w:r>
        <w:rPr>
          <w:rFonts w:ascii="Arial" w:hAnsi="Arial" w:cs="Arial"/>
          <w:noProof/>
        </w:rPr>
        <w:t xml:space="preserve">, </w:t>
      </w:r>
      <w:r w:rsidR="00846BD1">
        <w:rPr>
          <w:rFonts w:ascii="Arial" w:hAnsi="Arial" w:cs="Arial"/>
          <w:noProof/>
        </w:rPr>
        <w:t>UV-treated MLE-12 cells</w:t>
      </w:r>
      <w:r>
        <w:rPr>
          <w:rFonts w:ascii="Arial" w:hAnsi="Arial" w:cs="Arial"/>
          <w:noProof/>
        </w:rPr>
        <w:t>, or UV-treated Jurkat cells</w:t>
      </w:r>
      <w:r w:rsidR="00846BD1">
        <w:rPr>
          <w:rFonts w:ascii="Arial" w:hAnsi="Arial" w:cs="Arial"/>
          <w:noProof/>
        </w:rPr>
        <w:t xml:space="preserve"> for 21 days, n=6/group. </w:t>
      </w:r>
    </w:p>
    <w:p w:rsidR="005B40C3" w:rsidRDefault="005B40C3" w:rsidP="00846BD1">
      <w:pPr>
        <w:spacing w:after="0" w:line="480" w:lineRule="auto"/>
        <w:rPr>
          <w:rFonts w:ascii="Arial" w:hAnsi="Arial" w:cs="Arial"/>
          <w:noProof/>
        </w:rPr>
      </w:pPr>
    </w:p>
    <w:p w:rsidR="00667C3A" w:rsidRDefault="00846BD1" w:rsidP="00667C3A">
      <w:pPr>
        <w:spacing w:after="0" w:line="480" w:lineRule="auto"/>
        <w:rPr>
          <w:rFonts w:ascii="Arial" w:hAnsi="Arial" w:cs="Arial"/>
          <w:noProof/>
        </w:rPr>
      </w:pPr>
      <w:r>
        <w:rPr>
          <w:rFonts w:ascii="Arial" w:hAnsi="Arial" w:cs="Arial"/>
          <w:b/>
          <w:noProof/>
        </w:rPr>
        <w:t>Supp</w:t>
      </w:r>
      <w:r w:rsidR="00F57ACD">
        <w:rPr>
          <w:rFonts w:ascii="Arial" w:hAnsi="Arial" w:cs="Arial"/>
          <w:b/>
          <w:noProof/>
        </w:rPr>
        <w:t>lemental Figure 4</w:t>
      </w:r>
      <w:r w:rsidRPr="00386FA1">
        <w:rPr>
          <w:rFonts w:ascii="Arial" w:hAnsi="Arial" w:cs="Arial"/>
          <w:b/>
          <w:noProof/>
        </w:rPr>
        <w:t xml:space="preserve">. </w:t>
      </w:r>
      <w:r w:rsidR="00667C3A" w:rsidRPr="00386FA1">
        <w:rPr>
          <w:rFonts w:ascii="Arial" w:hAnsi="Arial" w:cs="Arial"/>
          <w:b/>
          <w:noProof/>
        </w:rPr>
        <w:t>Efferocytosis of UV</w:t>
      </w:r>
      <w:r w:rsidR="00667C3A">
        <w:rPr>
          <w:rFonts w:ascii="Arial" w:hAnsi="Arial" w:cs="Arial"/>
          <w:b/>
          <w:noProof/>
        </w:rPr>
        <w:t>-</w:t>
      </w:r>
      <w:r w:rsidR="00667C3A" w:rsidRPr="00386FA1">
        <w:rPr>
          <w:rFonts w:ascii="Arial" w:hAnsi="Arial" w:cs="Arial"/>
          <w:b/>
          <w:noProof/>
        </w:rPr>
        <w:t xml:space="preserve">treated </w:t>
      </w:r>
      <w:r w:rsidR="00667C3A">
        <w:rPr>
          <w:rFonts w:ascii="Arial" w:hAnsi="Arial" w:cs="Arial"/>
          <w:b/>
          <w:noProof/>
        </w:rPr>
        <w:t xml:space="preserve">AECs versus Live AECs. </w:t>
      </w:r>
      <w:r w:rsidR="00667C3A">
        <w:rPr>
          <w:rFonts w:ascii="Arial" w:hAnsi="Arial" w:cs="Arial"/>
          <w:noProof/>
        </w:rPr>
        <w:t xml:space="preserve"> </w:t>
      </w:r>
    </w:p>
    <w:p w:rsidR="005C76B4" w:rsidRDefault="00667C3A" w:rsidP="00C91736">
      <w:pPr>
        <w:spacing w:after="0" w:line="480" w:lineRule="auto"/>
      </w:pPr>
      <w:r>
        <w:rPr>
          <w:rFonts w:ascii="Arial" w:hAnsi="Arial" w:cs="Arial"/>
          <w:b/>
          <w:noProof/>
        </w:rPr>
        <w:t>A</w:t>
      </w:r>
      <w:r w:rsidRPr="00727D01">
        <w:rPr>
          <w:rFonts w:ascii="Arial" w:hAnsi="Arial" w:cs="Arial"/>
          <w:b/>
          <w:noProof/>
        </w:rPr>
        <w:t>.</w:t>
      </w:r>
      <w:r>
        <w:rPr>
          <w:rFonts w:ascii="Arial" w:hAnsi="Arial" w:cs="Arial"/>
          <w:noProof/>
        </w:rPr>
        <w:t xml:space="preserve"> RT-qPCR expression analysis of cultured primary alveolar macrophages treated with or without UV-treated primary AECs or uninjured, live primary AECs for 24 hours. </w:t>
      </w:r>
      <w:r>
        <w:rPr>
          <w:rFonts w:ascii="Arial" w:hAnsi="Arial" w:cs="Arial"/>
          <w:b/>
          <w:noProof/>
        </w:rPr>
        <w:t>B</w:t>
      </w:r>
      <w:r w:rsidRPr="00727D01">
        <w:rPr>
          <w:rFonts w:ascii="Arial" w:hAnsi="Arial" w:cs="Arial"/>
          <w:b/>
          <w:noProof/>
        </w:rPr>
        <w:t>.</w:t>
      </w:r>
      <w:r>
        <w:rPr>
          <w:rFonts w:ascii="Arial" w:hAnsi="Arial" w:cs="Arial"/>
          <w:noProof/>
        </w:rPr>
        <w:t xml:space="preserve"> TGFβ ELISA of conditioned media from alveolar macrophages treated with or without UV-treated primary AECs or uninjured, live primary AECs for 24 hours. N=4, *p&lt;0.05 compared to macrophages stimulated with UV-treated AECs. </w:t>
      </w:r>
      <w:bookmarkStart w:id="0" w:name="_GoBack"/>
      <w:bookmarkEnd w:id="0"/>
    </w:p>
    <w:sectPr w:rsidR="005C76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6BD1"/>
    <w:rsid w:val="005B40C3"/>
    <w:rsid w:val="005C76B4"/>
    <w:rsid w:val="00667C3A"/>
    <w:rsid w:val="007A520A"/>
    <w:rsid w:val="00846BD1"/>
    <w:rsid w:val="00C91736"/>
    <w:rsid w:val="00ED78FF"/>
    <w:rsid w:val="00F57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2C01A4B-0622-424B-8DB8-DFE1E1F72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6BD1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Michigan Hospital and Health Systems</Company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Kim, Kevin</dc:creator>
  <cp:lastModifiedBy>Kevin</cp:lastModifiedBy>
  <cp:revision>4</cp:revision>
  <dcterms:created xsi:type="dcterms:W3CDTF">2018-09-06T18:04:00Z</dcterms:created>
  <dcterms:modified xsi:type="dcterms:W3CDTF">2018-09-12T14:26:00Z</dcterms:modified>
</cp:coreProperties>
</file>