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1F05" w:rsidRPr="004A7C2D" w:rsidRDefault="009D1F05" w:rsidP="009D1F05">
      <w:pPr>
        <w:wordWrap/>
        <w:spacing w:line="480" w:lineRule="auto"/>
        <w:rPr>
          <w:rFonts w:ascii="Times New Roman" w:eastAsia="Arial Unicode MS" w:hAnsi="Times New Roman"/>
          <w:b/>
          <w:color w:val="000000" w:themeColor="text1"/>
          <w:sz w:val="24"/>
          <w:szCs w:val="24"/>
        </w:rPr>
      </w:pPr>
      <w:r w:rsidRPr="004A7C2D">
        <w:rPr>
          <w:rFonts w:ascii="Times New Roman" w:eastAsia="Arial Unicode MS" w:hAnsi="Times New Roman"/>
          <w:b/>
          <w:color w:val="000000" w:themeColor="text1"/>
          <w:sz w:val="24"/>
          <w:szCs w:val="24"/>
        </w:rPr>
        <w:t>Supplementa</w:t>
      </w:r>
      <w:r w:rsidR="00D242B0" w:rsidRPr="004A7C2D">
        <w:rPr>
          <w:rFonts w:ascii="Times New Roman" w:eastAsia="Arial Unicode MS" w:hAnsi="Times New Roman"/>
          <w:b/>
          <w:color w:val="000000" w:themeColor="text1"/>
          <w:sz w:val="24"/>
          <w:szCs w:val="24"/>
        </w:rPr>
        <w:t>ry</w:t>
      </w:r>
      <w:r w:rsidRPr="004A7C2D">
        <w:rPr>
          <w:rFonts w:ascii="Times New Roman" w:eastAsia="Arial Unicode MS" w:hAnsi="Times New Roman"/>
          <w:b/>
          <w:color w:val="000000" w:themeColor="text1"/>
          <w:sz w:val="24"/>
          <w:szCs w:val="24"/>
        </w:rPr>
        <w:t xml:space="preserve"> information legends</w:t>
      </w:r>
    </w:p>
    <w:p w:rsidR="009D1F05" w:rsidRPr="004A7C2D" w:rsidRDefault="009D1F05" w:rsidP="009D1F05">
      <w:pPr>
        <w:wordWrap/>
        <w:spacing w:line="480" w:lineRule="auto"/>
        <w:rPr>
          <w:rFonts w:ascii="Times New Roman" w:eastAsia="Arial Unicode MS" w:hAnsi="Times New Roman"/>
          <w:b/>
          <w:color w:val="000000" w:themeColor="text1"/>
          <w:sz w:val="24"/>
          <w:szCs w:val="24"/>
        </w:rPr>
      </w:pPr>
    </w:p>
    <w:p w:rsidR="009D1F05" w:rsidRPr="004A7C2D" w:rsidRDefault="009D1F05" w:rsidP="009D1F05">
      <w:pPr>
        <w:widowControl/>
        <w:wordWrap/>
        <w:autoSpaceDE/>
        <w:autoSpaceDN/>
        <w:spacing w:line="480" w:lineRule="auto"/>
        <w:rPr>
          <w:rFonts w:ascii="Times New Roman" w:eastAsia="Arial Unicode MS" w:hAnsi="Times New Roman"/>
          <w:b/>
          <w:color w:val="000000" w:themeColor="text1"/>
          <w:sz w:val="24"/>
          <w:szCs w:val="24"/>
        </w:rPr>
      </w:pPr>
      <w:r w:rsidRPr="004A7C2D">
        <w:rPr>
          <w:rFonts w:ascii="Times New Roman" w:eastAsia="Arial Unicode MS" w:hAnsi="Times New Roman"/>
          <w:b/>
          <w:bCs/>
          <w:color w:val="000000" w:themeColor="text1"/>
          <w:sz w:val="24"/>
          <w:szCs w:val="24"/>
        </w:rPr>
        <w:t xml:space="preserve">Figure </w:t>
      </w:r>
      <w:r w:rsidR="00384259">
        <w:rPr>
          <w:rFonts w:ascii="Times New Roman" w:eastAsia="Arial Unicode MS" w:hAnsi="Times New Roman"/>
          <w:b/>
          <w:bCs/>
          <w:color w:val="000000" w:themeColor="text1"/>
          <w:sz w:val="24"/>
          <w:szCs w:val="24"/>
        </w:rPr>
        <w:t>S</w:t>
      </w:r>
      <w:r w:rsidRPr="004A7C2D">
        <w:rPr>
          <w:rFonts w:ascii="Times New Roman" w:eastAsia="Arial Unicode MS" w:hAnsi="Times New Roman"/>
          <w:b/>
          <w:bCs/>
          <w:color w:val="000000" w:themeColor="text1"/>
          <w:sz w:val="24"/>
          <w:szCs w:val="24"/>
        </w:rPr>
        <w:t xml:space="preserve">1. </w:t>
      </w:r>
      <w:r w:rsidRPr="004A7C2D">
        <w:rPr>
          <w:rFonts w:ascii="Times New Roman" w:eastAsia="Arial Unicode MS" w:hAnsi="Times New Roman"/>
          <w:b/>
          <w:color w:val="000000" w:themeColor="text1"/>
          <w:sz w:val="24"/>
          <w:szCs w:val="24"/>
        </w:rPr>
        <w:t xml:space="preserve">Schematic diagram of the generation of </w:t>
      </w:r>
      <w:r w:rsidRPr="004A7C2D">
        <w:rPr>
          <w:rFonts w:ascii="Times New Roman" w:eastAsia="Arial Unicode MS" w:hAnsi="Times New Roman"/>
          <w:b/>
          <w:i/>
          <w:color w:val="000000" w:themeColor="text1"/>
          <w:sz w:val="24"/>
          <w:szCs w:val="24"/>
        </w:rPr>
        <w:t>Mob1a/b</w:t>
      </w:r>
      <w:r w:rsidRPr="004A7C2D">
        <w:rPr>
          <w:rFonts w:ascii="Times New Roman" w:eastAsia="Arial Unicode MS" w:hAnsi="Times New Roman"/>
          <w:b/>
          <w:color w:val="000000" w:themeColor="text1"/>
          <w:sz w:val="24"/>
          <w:szCs w:val="24"/>
        </w:rPr>
        <w:t xml:space="preserve"> gene-modified mice and genotyping</w:t>
      </w:r>
      <w:r w:rsidR="00EB0A77" w:rsidRPr="004A7C2D">
        <w:rPr>
          <w:rFonts w:ascii="Times New Roman" w:eastAsia="Arial Unicode MS" w:hAnsi="Times New Roman"/>
          <w:b/>
          <w:color w:val="000000" w:themeColor="text1"/>
          <w:sz w:val="24"/>
          <w:szCs w:val="24"/>
        </w:rPr>
        <w:t>.</w:t>
      </w:r>
    </w:p>
    <w:p w:rsidR="00EB0A77" w:rsidRPr="004A7C2D" w:rsidRDefault="00EB0A77" w:rsidP="009D1F05">
      <w:pPr>
        <w:widowControl/>
        <w:wordWrap/>
        <w:autoSpaceDE/>
        <w:autoSpaceDN/>
        <w:spacing w:line="480" w:lineRule="auto"/>
        <w:rPr>
          <w:rFonts w:ascii="Times New Roman" w:eastAsia="Arial Unicode MS" w:hAnsi="Times New Roman"/>
          <w:color w:val="000000" w:themeColor="text1"/>
          <w:sz w:val="24"/>
          <w:szCs w:val="24"/>
        </w:rPr>
      </w:pPr>
    </w:p>
    <w:p w:rsidR="009D1F05" w:rsidRPr="004A7C2D" w:rsidRDefault="00EB0A77" w:rsidP="009D1F05">
      <w:pPr>
        <w:widowControl/>
        <w:wordWrap/>
        <w:autoSpaceDE/>
        <w:autoSpaceDN/>
        <w:spacing w:line="480" w:lineRule="auto"/>
        <w:rPr>
          <w:rFonts w:ascii="Times New Roman" w:eastAsia="Arial Unicode MS" w:hAnsi="Times New Roman"/>
          <w:color w:val="000000" w:themeColor="text1"/>
          <w:sz w:val="24"/>
          <w:szCs w:val="24"/>
        </w:rPr>
      </w:pPr>
      <w:r w:rsidRPr="004A7C2D">
        <w:rPr>
          <w:rFonts w:ascii="Times New Roman" w:eastAsia="Arial Unicode MS" w:hAnsi="Times New Roman"/>
          <w:b/>
          <w:bCs/>
          <w:color w:val="000000" w:themeColor="text1"/>
          <w:sz w:val="24"/>
          <w:szCs w:val="24"/>
        </w:rPr>
        <w:t xml:space="preserve">Figure </w:t>
      </w:r>
      <w:r w:rsidR="00384259">
        <w:rPr>
          <w:rFonts w:ascii="Times New Roman" w:eastAsia="Arial Unicode MS" w:hAnsi="Times New Roman"/>
          <w:b/>
          <w:bCs/>
          <w:color w:val="000000" w:themeColor="text1"/>
          <w:sz w:val="24"/>
          <w:szCs w:val="24"/>
        </w:rPr>
        <w:t>S</w:t>
      </w:r>
      <w:r w:rsidR="009D1F05" w:rsidRPr="004A7C2D">
        <w:rPr>
          <w:rFonts w:ascii="Times New Roman" w:eastAsia="Arial Unicode MS" w:hAnsi="Times New Roman"/>
          <w:b/>
          <w:bCs/>
          <w:color w:val="000000" w:themeColor="text1"/>
          <w:sz w:val="24"/>
          <w:szCs w:val="24"/>
        </w:rPr>
        <w:t xml:space="preserve">2. </w:t>
      </w:r>
      <w:r w:rsidR="009D1F05" w:rsidRPr="004A7C2D">
        <w:rPr>
          <w:rFonts w:ascii="Times New Roman" w:eastAsia="Arial Unicode MS" w:hAnsi="Times New Roman"/>
          <w:b/>
          <w:color w:val="000000" w:themeColor="text1"/>
          <w:sz w:val="24"/>
          <w:szCs w:val="24"/>
        </w:rPr>
        <w:t>MOB1A/B-depleted ISCs were negatively selected</w:t>
      </w:r>
      <w:r w:rsidRPr="004A7C2D">
        <w:rPr>
          <w:rFonts w:ascii="Times New Roman" w:eastAsia="Arial Unicode MS" w:hAnsi="Times New Roman"/>
          <w:b/>
          <w:color w:val="000000" w:themeColor="text1"/>
          <w:sz w:val="24"/>
          <w:szCs w:val="24"/>
        </w:rPr>
        <w:t>.</w:t>
      </w:r>
      <w:r w:rsidR="009D1F05" w:rsidRPr="004A7C2D">
        <w:rPr>
          <w:rFonts w:ascii="Times New Roman" w:eastAsia="Arial Unicode MS" w:hAnsi="Times New Roman"/>
          <w:b/>
          <w:color w:val="000000" w:themeColor="text1"/>
          <w:sz w:val="24"/>
          <w:szCs w:val="24"/>
        </w:rPr>
        <w:t xml:space="preserve"> </w:t>
      </w:r>
      <w:r w:rsidR="009D1F05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Bright-field images of whole mount β-galactosidase staining sampled on the indicated days after tamoxifen treatment (40mg/kg). The lower images are an enlarged view of the upper images. </w:t>
      </w:r>
    </w:p>
    <w:p w:rsidR="009D1F05" w:rsidRPr="004A7C2D" w:rsidRDefault="009D1F05" w:rsidP="009D1F05">
      <w:pPr>
        <w:widowControl/>
        <w:wordWrap/>
        <w:autoSpaceDE/>
        <w:autoSpaceDN/>
        <w:spacing w:line="480" w:lineRule="auto"/>
        <w:rPr>
          <w:rFonts w:ascii="Times New Roman" w:eastAsia="Arial Unicode MS" w:hAnsi="Times New Roman"/>
          <w:color w:val="000000" w:themeColor="text1"/>
          <w:sz w:val="24"/>
          <w:szCs w:val="24"/>
        </w:rPr>
      </w:pPr>
    </w:p>
    <w:p w:rsidR="009D1F05" w:rsidRPr="004A7C2D" w:rsidRDefault="00384259" w:rsidP="009D1F05">
      <w:pPr>
        <w:widowControl/>
        <w:wordWrap/>
        <w:autoSpaceDE/>
        <w:autoSpaceDN/>
        <w:spacing w:line="480" w:lineRule="auto"/>
        <w:rPr>
          <w:rFonts w:ascii="Times New Roman" w:eastAsia="Arial Unicode MS" w:hAnsi="Times New Roman"/>
          <w:color w:val="000000" w:themeColor="text1"/>
          <w:sz w:val="24"/>
          <w:szCs w:val="24"/>
        </w:rPr>
      </w:pPr>
      <w:r>
        <w:rPr>
          <w:rFonts w:ascii="Times New Roman" w:eastAsia="Arial Unicode MS" w:hAnsi="Times New Roman"/>
          <w:b/>
          <w:bCs/>
          <w:color w:val="000000" w:themeColor="text1"/>
          <w:sz w:val="24"/>
          <w:szCs w:val="24"/>
        </w:rPr>
        <w:t>F</w:t>
      </w:r>
      <w:r w:rsidR="00EB0A77" w:rsidRPr="004A7C2D">
        <w:rPr>
          <w:rFonts w:ascii="Times New Roman" w:eastAsia="Arial Unicode MS" w:hAnsi="Times New Roman"/>
          <w:b/>
          <w:bCs/>
          <w:color w:val="000000" w:themeColor="text1"/>
          <w:sz w:val="24"/>
          <w:szCs w:val="24"/>
        </w:rPr>
        <w:t xml:space="preserve">igure </w:t>
      </w:r>
      <w:r>
        <w:rPr>
          <w:rFonts w:ascii="Times New Roman" w:eastAsia="Arial Unicode MS" w:hAnsi="Times New Roman"/>
          <w:b/>
          <w:bCs/>
          <w:color w:val="000000" w:themeColor="text1"/>
          <w:sz w:val="24"/>
          <w:szCs w:val="24"/>
        </w:rPr>
        <w:t>S</w:t>
      </w:r>
      <w:r w:rsidR="009D1F05" w:rsidRPr="004A7C2D">
        <w:rPr>
          <w:rFonts w:ascii="Times New Roman" w:eastAsia="Arial Unicode MS" w:hAnsi="Times New Roman"/>
          <w:b/>
          <w:bCs/>
          <w:color w:val="000000" w:themeColor="text1"/>
          <w:sz w:val="24"/>
          <w:szCs w:val="24"/>
        </w:rPr>
        <w:t xml:space="preserve">3. The effect of </w:t>
      </w:r>
      <w:r w:rsidR="009D1F05" w:rsidRPr="004A7C2D">
        <w:rPr>
          <w:rFonts w:ascii="Times New Roman" w:eastAsia="Arial Unicode MS" w:hAnsi="Times New Roman"/>
          <w:b/>
          <w:color w:val="000000" w:themeColor="text1"/>
          <w:sz w:val="24"/>
          <w:szCs w:val="24"/>
        </w:rPr>
        <w:t xml:space="preserve">LDN- or SB treatment in MOB1A/B </w:t>
      </w:r>
      <w:proofErr w:type="spellStart"/>
      <w:r w:rsidR="009D1F05" w:rsidRPr="004A7C2D">
        <w:rPr>
          <w:rFonts w:ascii="Times New Roman" w:eastAsia="Arial Unicode MS" w:hAnsi="Times New Roman"/>
          <w:b/>
          <w:color w:val="000000" w:themeColor="text1"/>
          <w:sz w:val="24"/>
          <w:szCs w:val="24"/>
        </w:rPr>
        <w:t>wt</w:t>
      </w:r>
      <w:proofErr w:type="spellEnd"/>
      <w:r w:rsidR="009D1F05" w:rsidRPr="004A7C2D">
        <w:rPr>
          <w:rFonts w:ascii="Times New Roman" w:eastAsia="Arial Unicode MS" w:hAnsi="Times New Roman"/>
          <w:b/>
          <w:color w:val="000000" w:themeColor="text1"/>
          <w:sz w:val="24"/>
          <w:szCs w:val="24"/>
        </w:rPr>
        <w:t xml:space="preserve"> mice</w:t>
      </w:r>
      <w:r w:rsidR="00EB0A77" w:rsidRPr="004A7C2D">
        <w:rPr>
          <w:rFonts w:ascii="Times New Roman" w:eastAsia="Arial Unicode MS" w:hAnsi="Times New Roman"/>
          <w:b/>
          <w:color w:val="000000" w:themeColor="text1"/>
          <w:sz w:val="24"/>
          <w:szCs w:val="24"/>
        </w:rPr>
        <w:t>.</w:t>
      </w:r>
      <w:r w:rsidR="009D1F05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</w:t>
      </w:r>
      <w:r w:rsidRPr="00384259">
        <w:rPr>
          <w:rFonts w:ascii="Times New Roman" w:eastAsia="Arial Unicode MS" w:hAnsi="Times New Roman"/>
          <w:b/>
          <w:color w:val="000000" w:themeColor="text1"/>
          <w:sz w:val="24"/>
          <w:szCs w:val="24"/>
        </w:rPr>
        <w:t>a</w:t>
      </w:r>
      <w:r w:rsidR="009D1F05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Schematic diagram of tamoxifen and inhibitor treatment. Percent changes in body weight of vehicle- or inhibitor-treated MOB1A/B </w:t>
      </w:r>
      <w:proofErr w:type="spellStart"/>
      <w:r w:rsidR="009D1F05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>wt</w:t>
      </w:r>
      <w:proofErr w:type="spellEnd"/>
      <w:r w:rsidR="009D1F05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mice (n = 3) after tamoxifen treatment. </w:t>
      </w:r>
      <w:r w:rsidRPr="00384259">
        <w:rPr>
          <w:rFonts w:ascii="Times New Roman" w:eastAsia="Arial Unicode MS" w:hAnsi="Times New Roman"/>
          <w:b/>
          <w:color w:val="000000" w:themeColor="text1"/>
          <w:sz w:val="24"/>
          <w:szCs w:val="24"/>
        </w:rPr>
        <w:t>b, c</w:t>
      </w:r>
      <w:r w:rsidR="009D1F05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Representative hematoxylin and eosin (H&amp;E) staining, alkaline phosphatase (AP) staining, periodic acid-</w:t>
      </w:r>
      <w:proofErr w:type="spellStart"/>
      <w:r w:rsidR="009D1F05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>schiff</w:t>
      </w:r>
      <w:proofErr w:type="spellEnd"/>
      <w:r w:rsidR="009D1F05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(PAS) staining and IHC staining with indicated antibodies of intestinal sample in (</w:t>
      </w:r>
      <w:r w:rsidR="003648A8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>a</w:t>
      </w:r>
      <w:r w:rsidR="009D1F05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). </w:t>
      </w:r>
      <w:r w:rsidRPr="00384259">
        <w:rPr>
          <w:rFonts w:ascii="Times New Roman" w:eastAsia="Arial Unicode MS" w:hAnsi="Times New Roman"/>
          <w:b/>
          <w:color w:val="000000" w:themeColor="text1"/>
          <w:sz w:val="24"/>
          <w:szCs w:val="24"/>
        </w:rPr>
        <w:t>d</w:t>
      </w:r>
      <w:r w:rsidR="009D1F05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Quantitative results showing expression levels of indicated mRNA from IECs isolated from vehicle- or inhibitor-treated MOB1A/B </w:t>
      </w:r>
      <w:proofErr w:type="spellStart"/>
      <w:r w:rsidR="009D1F05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>wt</w:t>
      </w:r>
      <w:proofErr w:type="spellEnd"/>
      <w:r w:rsidR="009D1F05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mice (n = 3). </w:t>
      </w:r>
      <w:r w:rsidRPr="00384259">
        <w:rPr>
          <w:rFonts w:ascii="Times New Roman" w:eastAsia="Arial Unicode MS" w:hAnsi="Times New Roman"/>
          <w:b/>
          <w:color w:val="000000" w:themeColor="text1"/>
          <w:sz w:val="24"/>
          <w:szCs w:val="24"/>
        </w:rPr>
        <w:t>e</w:t>
      </w:r>
      <w:r w:rsidR="009D1F05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Western blot analysis of IECs isolated vehicle- or inhibitor-treated MOB1A/B </w:t>
      </w:r>
      <w:proofErr w:type="spellStart"/>
      <w:r w:rsidR="009D1F05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>wt</w:t>
      </w:r>
      <w:proofErr w:type="spellEnd"/>
      <w:r w:rsidR="009D1F05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mice. Data are presented as the mean ± SEM.</w:t>
      </w:r>
    </w:p>
    <w:p w:rsidR="009D1F05" w:rsidRPr="004A7C2D" w:rsidRDefault="009D1F05" w:rsidP="009D1F05">
      <w:pPr>
        <w:widowControl/>
        <w:wordWrap/>
        <w:autoSpaceDE/>
        <w:autoSpaceDN/>
        <w:spacing w:line="480" w:lineRule="auto"/>
        <w:rPr>
          <w:rFonts w:ascii="Times New Roman" w:eastAsia="Arial Unicode MS" w:hAnsi="Times New Roman"/>
          <w:color w:val="000000" w:themeColor="text1"/>
          <w:sz w:val="24"/>
          <w:szCs w:val="24"/>
        </w:rPr>
      </w:pPr>
    </w:p>
    <w:p w:rsidR="009D1F05" w:rsidRDefault="00EB0A77" w:rsidP="009D1F05">
      <w:pPr>
        <w:widowControl/>
        <w:wordWrap/>
        <w:autoSpaceDE/>
        <w:autoSpaceDN/>
        <w:spacing w:line="480" w:lineRule="auto"/>
        <w:rPr>
          <w:rFonts w:ascii="Times New Roman" w:eastAsia="Arial Unicode MS" w:hAnsi="Times New Roman"/>
          <w:color w:val="000000" w:themeColor="text1"/>
          <w:sz w:val="24"/>
          <w:szCs w:val="24"/>
        </w:rPr>
      </w:pPr>
      <w:r w:rsidRPr="004A7C2D">
        <w:rPr>
          <w:rFonts w:ascii="Times New Roman" w:eastAsia="Arial Unicode MS" w:hAnsi="Times New Roman"/>
          <w:b/>
          <w:bCs/>
          <w:color w:val="000000" w:themeColor="text1"/>
          <w:sz w:val="24"/>
          <w:szCs w:val="24"/>
        </w:rPr>
        <w:t xml:space="preserve">Figure </w:t>
      </w:r>
      <w:r w:rsidR="00384259">
        <w:rPr>
          <w:rFonts w:ascii="Times New Roman" w:eastAsia="Arial Unicode MS" w:hAnsi="Times New Roman"/>
          <w:b/>
          <w:bCs/>
          <w:color w:val="000000" w:themeColor="text1"/>
          <w:sz w:val="24"/>
          <w:szCs w:val="24"/>
        </w:rPr>
        <w:t>S</w:t>
      </w:r>
      <w:r w:rsidR="009D1F05" w:rsidRPr="004A7C2D">
        <w:rPr>
          <w:rFonts w:ascii="Times New Roman" w:eastAsia="Arial Unicode MS" w:hAnsi="Times New Roman"/>
          <w:b/>
          <w:bCs/>
          <w:color w:val="000000" w:themeColor="text1"/>
          <w:sz w:val="24"/>
          <w:szCs w:val="24"/>
        </w:rPr>
        <w:t>4. L</w:t>
      </w:r>
      <w:r w:rsidR="009D1F05" w:rsidRPr="004A7C2D">
        <w:rPr>
          <w:rFonts w:ascii="Times New Roman" w:eastAsia="Arial Unicode MS" w:hAnsi="Times New Roman"/>
          <w:b/>
          <w:color w:val="000000" w:themeColor="text1"/>
          <w:sz w:val="24"/>
          <w:szCs w:val="24"/>
        </w:rPr>
        <w:t xml:space="preserve">ocalization of YAP and TAZ in LDN treated MOB1A/B </w:t>
      </w:r>
      <w:proofErr w:type="spellStart"/>
      <w:r w:rsidR="009D1F05" w:rsidRPr="004A7C2D">
        <w:rPr>
          <w:rFonts w:ascii="Times New Roman" w:eastAsia="Arial Unicode MS" w:hAnsi="Times New Roman"/>
          <w:b/>
          <w:color w:val="000000" w:themeColor="text1"/>
          <w:sz w:val="24"/>
          <w:szCs w:val="24"/>
        </w:rPr>
        <w:t>iKO</w:t>
      </w:r>
      <w:proofErr w:type="spellEnd"/>
      <w:r w:rsidR="009D1F05" w:rsidRPr="004A7C2D">
        <w:rPr>
          <w:rFonts w:ascii="Times New Roman" w:eastAsia="Arial Unicode MS" w:hAnsi="Times New Roman"/>
          <w:b/>
          <w:color w:val="000000" w:themeColor="text1"/>
          <w:sz w:val="24"/>
          <w:szCs w:val="24"/>
        </w:rPr>
        <w:t xml:space="preserve"> mice. </w:t>
      </w:r>
      <w:r w:rsidR="00384259" w:rsidRPr="00384259">
        <w:rPr>
          <w:rFonts w:ascii="Times New Roman" w:eastAsia="Arial Unicode MS" w:hAnsi="Times New Roman"/>
          <w:b/>
          <w:color w:val="000000" w:themeColor="text1"/>
          <w:sz w:val="24"/>
          <w:szCs w:val="24"/>
        </w:rPr>
        <w:t>a, b</w:t>
      </w:r>
      <w:r w:rsidR="00060388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</w:t>
      </w:r>
      <w:r w:rsidR="009D1F05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>Representative IHC staining results obtained with anti-YAP (</w:t>
      </w:r>
      <w:r w:rsidR="003648A8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>a</w:t>
      </w:r>
      <w:r w:rsidR="009D1F05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>) and anti-TAZ (</w:t>
      </w:r>
      <w:r w:rsidR="003648A8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>b</w:t>
      </w:r>
      <w:r w:rsidR="009D1F05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) antibodies in intestinal sample isolated from vehicle- or inhibitor-treated three individual MOB1A/B </w:t>
      </w:r>
      <w:proofErr w:type="spellStart"/>
      <w:r w:rsidR="009D1F05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>wt</w:t>
      </w:r>
      <w:proofErr w:type="spellEnd"/>
      <w:r w:rsidR="009D1F05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and </w:t>
      </w:r>
      <w:r w:rsidR="009D1F05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lastRenderedPageBreak/>
        <w:t xml:space="preserve">MOB1A/B </w:t>
      </w:r>
      <w:proofErr w:type="spellStart"/>
      <w:r w:rsidR="009D1F05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>iKO</w:t>
      </w:r>
      <w:proofErr w:type="spellEnd"/>
      <w:r w:rsidR="009D1F05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mice at 7 days </w:t>
      </w:r>
      <w:r w:rsidR="009D1F05" w:rsidRPr="003D6165">
        <w:rPr>
          <w:rFonts w:ascii="Times New Roman" w:eastAsia="Arial Unicode MS" w:hAnsi="Times New Roman"/>
          <w:color w:val="000000" w:themeColor="text1"/>
          <w:sz w:val="24"/>
          <w:szCs w:val="24"/>
        </w:rPr>
        <w:t>after tamoxifen treatment. Upper images were counterstained with hematoxylin and lower images were not.</w:t>
      </w:r>
      <w:r w:rsidR="00060388" w:rsidRPr="003D6165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</w:t>
      </w:r>
      <w:r w:rsidR="00060388" w:rsidRPr="003D6165">
        <w:rPr>
          <w:rFonts w:ascii="Times New Roman" w:eastAsia="Arial Unicode MS" w:hAnsi="Times New Roman"/>
          <w:b/>
          <w:color w:val="000000" w:themeColor="text1"/>
          <w:sz w:val="24"/>
          <w:szCs w:val="24"/>
        </w:rPr>
        <w:t>c</w:t>
      </w:r>
      <w:r w:rsidR="00060388" w:rsidRPr="003D6165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Representative IHC staining results obtained with anti-Ki67 (upper), anti-PCNA (middle) and anti-</w:t>
      </w:r>
      <w:proofErr w:type="spellStart"/>
      <w:r w:rsidR="00060388" w:rsidRPr="003D6165">
        <w:rPr>
          <w:rFonts w:ascii="Times New Roman" w:eastAsia="Arial Unicode MS" w:hAnsi="Times New Roman"/>
          <w:color w:val="000000" w:themeColor="text1"/>
          <w:sz w:val="24"/>
          <w:szCs w:val="24"/>
        </w:rPr>
        <w:t>BrdU</w:t>
      </w:r>
      <w:proofErr w:type="spellEnd"/>
      <w:r w:rsidR="00060388" w:rsidRPr="003D6165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(lower) antibodies in intestinal sample isolated from vehicle- or inhibitor-treated three individual MOB1A/B </w:t>
      </w:r>
      <w:proofErr w:type="spellStart"/>
      <w:r w:rsidR="00060388" w:rsidRPr="003D6165">
        <w:rPr>
          <w:rFonts w:ascii="Times New Roman" w:eastAsia="Arial Unicode MS" w:hAnsi="Times New Roman"/>
          <w:color w:val="000000" w:themeColor="text1"/>
          <w:sz w:val="24"/>
          <w:szCs w:val="24"/>
        </w:rPr>
        <w:t>wt</w:t>
      </w:r>
      <w:proofErr w:type="spellEnd"/>
      <w:r w:rsidR="00060388" w:rsidRPr="003D6165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and MOB1A/B </w:t>
      </w:r>
      <w:proofErr w:type="spellStart"/>
      <w:r w:rsidR="00060388" w:rsidRPr="003D6165">
        <w:rPr>
          <w:rFonts w:ascii="Times New Roman" w:eastAsia="Arial Unicode MS" w:hAnsi="Times New Roman"/>
          <w:color w:val="000000" w:themeColor="text1"/>
          <w:sz w:val="24"/>
          <w:szCs w:val="24"/>
        </w:rPr>
        <w:t>iKO</w:t>
      </w:r>
      <w:proofErr w:type="spellEnd"/>
      <w:r w:rsidR="00060388" w:rsidRPr="003D6165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mice at 7 days after tamoxifen treatment.</w:t>
      </w:r>
      <w:bookmarkStart w:id="0" w:name="_GoBack"/>
      <w:bookmarkEnd w:id="0"/>
    </w:p>
    <w:p w:rsidR="00060388" w:rsidRPr="004A7C2D" w:rsidRDefault="00060388" w:rsidP="009D1F05">
      <w:pPr>
        <w:widowControl/>
        <w:wordWrap/>
        <w:autoSpaceDE/>
        <w:autoSpaceDN/>
        <w:spacing w:line="480" w:lineRule="auto"/>
        <w:rPr>
          <w:rFonts w:ascii="Times New Roman" w:eastAsia="Arial Unicode MS" w:hAnsi="Times New Roman"/>
          <w:color w:val="000000" w:themeColor="text1"/>
          <w:sz w:val="24"/>
          <w:szCs w:val="24"/>
        </w:rPr>
      </w:pPr>
    </w:p>
    <w:p w:rsidR="009D1F05" w:rsidRPr="004A7C2D" w:rsidRDefault="00EB0A77" w:rsidP="009D1F05">
      <w:pPr>
        <w:widowControl/>
        <w:wordWrap/>
        <w:autoSpaceDE/>
        <w:autoSpaceDN/>
        <w:spacing w:line="480" w:lineRule="auto"/>
        <w:rPr>
          <w:rFonts w:ascii="Times New Roman" w:eastAsia="Arial Unicode MS" w:hAnsi="Times New Roman"/>
          <w:color w:val="000000" w:themeColor="text1"/>
          <w:sz w:val="24"/>
          <w:szCs w:val="24"/>
        </w:rPr>
      </w:pPr>
      <w:r w:rsidRPr="004A7C2D">
        <w:rPr>
          <w:rFonts w:ascii="Times New Roman" w:eastAsia="Arial Unicode MS" w:hAnsi="Times New Roman"/>
          <w:b/>
          <w:bCs/>
          <w:color w:val="000000" w:themeColor="text1"/>
          <w:sz w:val="24"/>
          <w:szCs w:val="24"/>
        </w:rPr>
        <w:t xml:space="preserve">Figure </w:t>
      </w:r>
      <w:r w:rsidR="00384259">
        <w:rPr>
          <w:rFonts w:ascii="Times New Roman" w:eastAsia="Arial Unicode MS" w:hAnsi="Times New Roman"/>
          <w:b/>
          <w:bCs/>
          <w:color w:val="000000" w:themeColor="text1"/>
          <w:sz w:val="24"/>
          <w:szCs w:val="24"/>
        </w:rPr>
        <w:t>S</w:t>
      </w:r>
      <w:r w:rsidR="009D1F05" w:rsidRPr="004A7C2D">
        <w:rPr>
          <w:rFonts w:ascii="Times New Roman" w:eastAsia="Arial Unicode MS" w:hAnsi="Times New Roman"/>
          <w:b/>
          <w:bCs/>
          <w:color w:val="000000" w:themeColor="text1"/>
          <w:sz w:val="24"/>
          <w:szCs w:val="24"/>
        </w:rPr>
        <w:t xml:space="preserve">5. Upregulation </w:t>
      </w:r>
      <w:r w:rsidR="009D1F05" w:rsidRPr="004A7C2D">
        <w:rPr>
          <w:rFonts w:ascii="Times New Roman" w:eastAsia="Arial Unicode MS" w:hAnsi="Times New Roman"/>
          <w:b/>
          <w:color w:val="000000" w:themeColor="text1"/>
          <w:sz w:val="24"/>
          <w:szCs w:val="24"/>
        </w:rPr>
        <w:t xml:space="preserve">of </w:t>
      </w:r>
      <w:r w:rsidR="009D1F05" w:rsidRPr="004A7C2D">
        <w:rPr>
          <w:rFonts w:ascii="Times New Roman" w:eastAsia="Arial Unicode MS" w:hAnsi="Times New Roman"/>
          <w:b/>
          <w:i/>
          <w:color w:val="000000" w:themeColor="text1"/>
          <w:sz w:val="24"/>
          <w:szCs w:val="24"/>
        </w:rPr>
        <w:t>Bmp2</w:t>
      </w:r>
      <w:r w:rsidR="009D1F05" w:rsidRPr="004A7C2D">
        <w:rPr>
          <w:rFonts w:ascii="Times New Roman" w:eastAsia="Arial Unicode MS" w:hAnsi="Times New Roman"/>
          <w:b/>
          <w:color w:val="000000" w:themeColor="text1"/>
          <w:sz w:val="24"/>
          <w:szCs w:val="24"/>
        </w:rPr>
        <w:t xml:space="preserve"> and </w:t>
      </w:r>
      <w:r w:rsidR="009D1F05" w:rsidRPr="004A7C2D">
        <w:rPr>
          <w:rFonts w:ascii="Times New Roman" w:eastAsia="Arial Unicode MS" w:hAnsi="Times New Roman"/>
          <w:b/>
          <w:i/>
          <w:color w:val="000000" w:themeColor="text1"/>
          <w:sz w:val="24"/>
          <w:szCs w:val="24"/>
        </w:rPr>
        <w:t xml:space="preserve">Tgfbr2 </w:t>
      </w:r>
      <w:r w:rsidR="009D1F05" w:rsidRPr="004A7C2D">
        <w:rPr>
          <w:rFonts w:ascii="Times New Roman" w:eastAsia="Arial Unicode MS" w:hAnsi="Times New Roman"/>
          <w:b/>
          <w:color w:val="000000" w:themeColor="text1"/>
          <w:sz w:val="24"/>
          <w:szCs w:val="24"/>
        </w:rPr>
        <w:t xml:space="preserve">by MOB1A/B knockdown was dependent on YAP and TAZ activities in Caco-2 cell line. </w:t>
      </w:r>
      <w:r w:rsidR="00384259" w:rsidRPr="00384259">
        <w:rPr>
          <w:rFonts w:ascii="Times New Roman" w:eastAsia="Arial Unicode MS" w:hAnsi="Times New Roman"/>
          <w:b/>
          <w:color w:val="000000" w:themeColor="text1"/>
          <w:sz w:val="24"/>
          <w:szCs w:val="24"/>
        </w:rPr>
        <w:t>a</w:t>
      </w:r>
      <w:r w:rsidR="009D1F05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Quantitative result showing expression levels of indicated mRNA from control or shMOB1A/B stably transfected Caco-2 cells. </w:t>
      </w:r>
      <w:r w:rsidR="00384259" w:rsidRPr="00384259">
        <w:rPr>
          <w:rFonts w:ascii="Times New Roman" w:eastAsia="Arial Unicode MS" w:hAnsi="Times New Roman"/>
          <w:b/>
          <w:color w:val="000000" w:themeColor="text1"/>
          <w:sz w:val="24"/>
          <w:szCs w:val="24"/>
        </w:rPr>
        <w:t>b, c</w:t>
      </w:r>
      <w:r w:rsidR="00384259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</w:t>
      </w:r>
      <w:r w:rsidR="009D1F05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>Control and shMOB1A#2, MOB1B#2 Caco-2 cell lines were transfected with indicated siRNA or Flag-mouse MOB1A/B. Western blot analysis (</w:t>
      </w:r>
      <w:r w:rsidR="003648A8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>b</w:t>
      </w:r>
      <w:r w:rsidR="009D1F05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) and </w:t>
      </w:r>
      <w:proofErr w:type="spellStart"/>
      <w:r w:rsidR="009D1F05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>qRT</w:t>
      </w:r>
      <w:proofErr w:type="spellEnd"/>
      <w:r w:rsidR="009D1F05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>-PCR (</w:t>
      </w:r>
      <w:r w:rsidR="003648A8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>c</w:t>
      </w:r>
      <w:r w:rsidR="009D1F05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>) were performed at 48h after transfection. Data were collected from at least three independent experiments. Data are presented as the mean ± SEM. *</w:t>
      </w:r>
      <w:r w:rsidR="009D1F05" w:rsidRPr="004A7C2D">
        <w:rPr>
          <w:rFonts w:ascii="Times New Roman" w:eastAsia="Arial Unicode MS" w:hAnsi="Times New Roman"/>
          <w:i/>
          <w:iCs/>
          <w:color w:val="000000" w:themeColor="text1"/>
          <w:sz w:val="24"/>
          <w:szCs w:val="24"/>
        </w:rPr>
        <w:t>P</w:t>
      </w:r>
      <w:r w:rsidR="009D1F05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&lt; 0.05, **</w:t>
      </w:r>
      <w:r w:rsidR="009D1F05" w:rsidRPr="004A7C2D">
        <w:rPr>
          <w:rFonts w:ascii="Times New Roman" w:eastAsia="Arial Unicode MS" w:hAnsi="Times New Roman"/>
          <w:i/>
          <w:iCs/>
          <w:color w:val="000000" w:themeColor="text1"/>
          <w:sz w:val="24"/>
          <w:szCs w:val="24"/>
        </w:rPr>
        <w:t>P</w:t>
      </w:r>
      <w:r w:rsidR="009D1F05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&lt; 0.01, ***</w:t>
      </w:r>
      <w:r w:rsidR="009D1F05" w:rsidRPr="004A7C2D">
        <w:rPr>
          <w:rFonts w:ascii="Times New Roman" w:eastAsia="Arial Unicode MS" w:hAnsi="Times New Roman"/>
          <w:i/>
          <w:iCs/>
          <w:color w:val="000000" w:themeColor="text1"/>
          <w:sz w:val="24"/>
          <w:szCs w:val="24"/>
        </w:rPr>
        <w:t>P</w:t>
      </w:r>
      <w:r w:rsidR="009D1F05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&lt; 0.001.</w:t>
      </w:r>
    </w:p>
    <w:p w:rsidR="009D1F05" w:rsidRPr="004A7C2D" w:rsidRDefault="009D1F05" w:rsidP="009D1F05">
      <w:pPr>
        <w:widowControl/>
        <w:wordWrap/>
        <w:autoSpaceDE/>
        <w:autoSpaceDN/>
        <w:spacing w:line="480" w:lineRule="auto"/>
        <w:rPr>
          <w:rFonts w:ascii="Times New Roman" w:eastAsia="Arial Unicode MS" w:hAnsi="Times New Roman"/>
          <w:color w:val="000000" w:themeColor="text1"/>
          <w:sz w:val="24"/>
          <w:szCs w:val="24"/>
        </w:rPr>
      </w:pPr>
    </w:p>
    <w:p w:rsidR="009D1F05" w:rsidRPr="004A7C2D" w:rsidRDefault="00EB0A77" w:rsidP="009D1F05">
      <w:pPr>
        <w:widowControl/>
        <w:wordWrap/>
        <w:autoSpaceDE/>
        <w:autoSpaceDN/>
        <w:spacing w:line="480" w:lineRule="auto"/>
        <w:rPr>
          <w:rFonts w:ascii="Times New Roman" w:eastAsia="Arial Unicode MS" w:hAnsi="Times New Roman"/>
          <w:color w:val="000000" w:themeColor="text1"/>
          <w:sz w:val="24"/>
          <w:szCs w:val="24"/>
        </w:rPr>
      </w:pPr>
      <w:r w:rsidRPr="004A7C2D">
        <w:rPr>
          <w:rFonts w:ascii="Times New Roman" w:eastAsia="Arial Unicode MS" w:hAnsi="Times New Roman"/>
          <w:b/>
          <w:bCs/>
          <w:color w:val="000000" w:themeColor="text1"/>
          <w:sz w:val="24"/>
          <w:szCs w:val="24"/>
        </w:rPr>
        <w:t xml:space="preserve">Figure </w:t>
      </w:r>
      <w:r w:rsidR="00384259">
        <w:rPr>
          <w:rFonts w:ascii="Times New Roman" w:eastAsia="Arial Unicode MS" w:hAnsi="Times New Roman"/>
          <w:b/>
          <w:bCs/>
          <w:color w:val="000000" w:themeColor="text1"/>
          <w:sz w:val="24"/>
          <w:szCs w:val="24"/>
        </w:rPr>
        <w:t>S</w:t>
      </w:r>
      <w:r w:rsidR="009D1F05" w:rsidRPr="004A7C2D">
        <w:rPr>
          <w:rFonts w:ascii="Times New Roman" w:eastAsia="Arial Unicode MS" w:hAnsi="Times New Roman"/>
          <w:b/>
          <w:bCs/>
          <w:color w:val="000000" w:themeColor="text1"/>
          <w:sz w:val="24"/>
          <w:szCs w:val="24"/>
        </w:rPr>
        <w:t>6. I</w:t>
      </w:r>
      <w:r w:rsidR="009D1F05" w:rsidRPr="004A7C2D">
        <w:rPr>
          <w:rFonts w:ascii="Times New Roman" w:eastAsia="Arial Unicode MS" w:hAnsi="Times New Roman"/>
          <w:b/>
          <w:color w:val="000000" w:themeColor="text1"/>
          <w:sz w:val="24"/>
          <w:szCs w:val="24"/>
        </w:rPr>
        <w:t>nhibition of BMP/</w:t>
      </w:r>
      <w:r w:rsidR="009D1F05" w:rsidRPr="004A7C2D">
        <w:rPr>
          <w:rFonts w:ascii="Times New Roman" w:hAnsi="Times New Roman"/>
          <w:b/>
          <w:color w:val="000000" w:themeColor="text1"/>
          <w:sz w:val="24"/>
          <w:szCs w:val="24"/>
        </w:rPr>
        <w:t>TGF</w:t>
      </w:r>
      <w:r w:rsidR="009D1F05" w:rsidRPr="004A7C2D">
        <w:rPr>
          <w:rFonts w:ascii="Times New Roman" w:eastAsia="Arial Unicode MS" w:hAnsi="Times New Roman"/>
          <w:b/>
          <w:color w:val="000000" w:themeColor="text1"/>
          <w:sz w:val="24"/>
          <w:szCs w:val="24"/>
        </w:rPr>
        <w:t>-β signaling recover the intestinal defects caused by depleting MOB1A/B</w:t>
      </w:r>
      <w:r w:rsidRPr="004A7C2D">
        <w:rPr>
          <w:rFonts w:ascii="Times New Roman" w:eastAsia="Arial Unicode MS" w:hAnsi="Times New Roman"/>
          <w:b/>
          <w:color w:val="000000" w:themeColor="text1"/>
          <w:sz w:val="24"/>
          <w:szCs w:val="24"/>
        </w:rPr>
        <w:t>.</w:t>
      </w:r>
      <w:r w:rsidR="009D1F05" w:rsidRPr="004A7C2D">
        <w:rPr>
          <w:rFonts w:ascii="Times New Roman" w:eastAsia="Arial Unicode MS" w:hAnsi="Times New Roman"/>
          <w:b/>
          <w:color w:val="000000" w:themeColor="text1"/>
          <w:sz w:val="24"/>
          <w:szCs w:val="24"/>
        </w:rPr>
        <w:t xml:space="preserve"> </w:t>
      </w:r>
      <w:r w:rsidR="00384259" w:rsidRPr="00384259">
        <w:rPr>
          <w:rFonts w:ascii="Times New Roman" w:eastAsia="Arial Unicode MS" w:hAnsi="Times New Roman"/>
          <w:b/>
          <w:color w:val="000000" w:themeColor="text1"/>
          <w:sz w:val="24"/>
          <w:szCs w:val="24"/>
        </w:rPr>
        <w:t>a</w:t>
      </w:r>
      <w:r w:rsidR="009D1F05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</w:t>
      </w:r>
      <w:r w:rsidR="00270D38">
        <w:rPr>
          <w:rFonts w:ascii="Times New Roman" w:eastAsia="Arial Unicode MS" w:hAnsi="Times New Roman"/>
          <w:color w:val="000000" w:themeColor="text1"/>
          <w:sz w:val="24"/>
          <w:szCs w:val="24"/>
        </w:rPr>
        <w:t>P</w:t>
      </w:r>
      <w:r w:rsidR="009D1F05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ercentage of organoids showing 0, 1, 2, 3 or ≥4 de novo crypts after 4-day culture of isolated ISCs. Culture media with indicated inhibitors were replaced every day. Results were obtained from three independent cultures. </w:t>
      </w:r>
      <w:r w:rsidR="00384259" w:rsidRPr="00384259">
        <w:rPr>
          <w:rFonts w:ascii="Times New Roman" w:eastAsia="Arial Unicode MS" w:hAnsi="Times New Roman"/>
          <w:b/>
          <w:color w:val="000000" w:themeColor="text1"/>
          <w:sz w:val="24"/>
          <w:szCs w:val="24"/>
        </w:rPr>
        <w:t>b, c</w:t>
      </w:r>
      <w:r w:rsidR="009D1F05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Semi-quantitative PCR analysis of mRNA isolated from vehicle- or inhibitor-treated three individual MOB1A/B </w:t>
      </w:r>
      <w:proofErr w:type="spellStart"/>
      <w:r w:rsidR="009D1F05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>wt</w:t>
      </w:r>
      <w:proofErr w:type="spellEnd"/>
      <w:r w:rsidR="009D1F05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and MOB1A/B </w:t>
      </w:r>
      <w:proofErr w:type="spellStart"/>
      <w:r w:rsidR="009D1F05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>iKO</w:t>
      </w:r>
      <w:proofErr w:type="spellEnd"/>
      <w:r w:rsidR="009D1F05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mice at 7 days after tamoxifen treatment. Lower graph represent quantification of </w:t>
      </w:r>
      <w:r w:rsidR="009D1F05" w:rsidRPr="004A7C2D">
        <w:rPr>
          <w:rFonts w:ascii="Times New Roman" w:eastAsia="Arial Unicode MS" w:hAnsi="Times New Roman"/>
          <w:i/>
          <w:iCs/>
          <w:color w:val="000000" w:themeColor="text1"/>
          <w:sz w:val="24"/>
          <w:szCs w:val="24"/>
        </w:rPr>
        <w:t>Muc2</w:t>
      </w:r>
      <w:r w:rsidR="009D1F05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mRNA in (</w:t>
      </w:r>
      <w:r w:rsidR="003648A8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>b</w:t>
      </w:r>
      <w:r w:rsidR="009D1F05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). Upper band (*) of PCR amplification results using </w:t>
      </w:r>
      <w:proofErr w:type="spellStart"/>
      <w:r w:rsidR="009D1F05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>Egf</w:t>
      </w:r>
      <w:proofErr w:type="spellEnd"/>
      <w:r w:rsidR="009D1F05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primer was non-specific in (</w:t>
      </w:r>
      <w:r w:rsidR="003648A8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>c</w:t>
      </w:r>
      <w:r w:rsidR="009D1F05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>). Data are presented as the mean ± SEM. **</w:t>
      </w:r>
      <w:r w:rsidR="009D1F05" w:rsidRPr="004A7C2D">
        <w:rPr>
          <w:rFonts w:ascii="Times New Roman" w:eastAsia="Arial Unicode MS" w:hAnsi="Times New Roman"/>
          <w:i/>
          <w:iCs/>
          <w:color w:val="000000" w:themeColor="text1"/>
          <w:sz w:val="24"/>
          <w:szCs w:val="24"/>
        </w:rPr>
        <w:t>P</w:t>
      </w:r>
      <w:r w:rsidR="009D1F05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&lt; 0.01, ***</w:t>
      </w:r>
      <w:r w:rsidR="009D1F05" w:rsidRPr="004A7C2D">
        <w:rPr>
          <w:rFonts w:ascii="Times New Roman" w:eastAsia="Arial Unicode MS" w:hAnsi="Times New Roman"/>
          <w:i/>
          <w:iCs/>
          <w:color w:val="000000" w:themeColor="text1"/>
          <w:sz w:val="24"/>
          <w:szCs w:val="24"/>
        </w:rPr>
        <w:t>P</w:t>
      </w:r>
      <w:r w:rsidR="009D1F05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&lt; 0.001.</w:t>
      </w:r>
    </w:p>
    <w:p w:rsidR="009D1F05" w:rsidRPr="004A7C2D" w:rsidRDefault="009D1F05" w:rsidP="009D1F05">
      <w:pPr>
        <w:widowControl/>
        <w:wordWrap/>
        <w:autoSpaceDE/>
        <w:autoSpaceDN/>
        <w:spacing w:line="480" w:lineRule="auto"/>
        <w:rPr>
          <w:rFonts w:ascii="Times New Roman" w:eastAsia="Arial Unicode MS" w:hAnsi="Times New Roman"/>
          <w:color w:val="000000" w:themeColor="text1"/>
          <w:sz w:val="24"/>
          <w:szCs w:val="24"/>
        </w:rPr>
      </w:pPr>
    </w:p>
    <w:p w:rsidR="009D1F05" w:rsidRPr="004A7C2D" w:rsidRDefault="00EB0A77" w:rsidP="009D1F05">
      <w:pPr>
        <w:widowControl/>
        <w:wordWrap/>
        <w:autoSpaceDE/>
        <w:autoSpaceDN/>
        <w:spacing w:line="480" w:lineRule="auto"/>
        <w:rPr>
          <w:rFonts w:ascii="Times New Roman" w:eastAsia="Arial Unicode MS" w:hAnsi="Times New Roman"/>
          <w:color w:val="000000" w:themeColor="text1"/>
          <w:sz w:val="24"/>
          <w:szCs w:val="24"/>
        </w:rPr>
      </w:pPr>
      <w:r w:rsidRPr="004A7C2D">
        <w:rPr>
          <w:rFonts w:ascii="Times New Roman" w:eastAsia="Arial Unicode MS" w:hAnsi="Times New Roman"/>
          <w:b/>
          <w:color w:val="000000" w:themeColor="text1"/>
          <w:sz w:val="24"/>
          <w:szCs w:val="24"/>
        </w:rPr>
        <w:t>Supplementary</w:t>
      </w:r>
      <w:r w:rsidRPr="004A7C2D">
        <w:rPr>
          <w:rFonts w:ascii="Times New Roman" w:eastAsia="Arial Unicode MS" w:hAnsi="Times New Roman"/>
          <w:b/>
          <w:bCs/>
          <w:color w:val="000000" w:themeColor="text1"/>
          <w:sz w:val="24"/>
          <w:szCs w:val="24"/>
        </w:rPr>
        <w:t xml:space="preserve"> Table </w:t>
      </w:r>
      <w:r w:rsidR="009D1F05" w:rsidRPr="004A7C2D">
        <w:rPr>
          <w:rFonts w:ascii="Times New Roman" w:eastAsia="Arial Unicode MS" w:hAnsi="Times New Roman"/>
          <w:b/>
          <w:bCs/>
          <w:color w:val="000000" w:themeColor="text1"/>
          <w:sz w:val="24"/>
          <w:szCs w:val="24"/>
        </w:rPr>
        <w:t xml:space="preserve">1. </w:t>
      </w:r>
      <w:r w:rsidR="009D1F05" w:rsidRPr="004A7C2D">
        <w:rPr>
          <w:rFonts w:ascii="Times New Roman" w:eastAsia="Arial Unicode MS" w:hAnsi="Times New Roman"/>
          <w:b/>
          <w:color w:val="000000" w:themeColor="text1"/>
          <w:sz w:val="24"/>
          <w:szCs w:val="24"/>
        </w:rPr>
        <w:t xml:space="preserve">MOB1A/B is essential for normal development of IECs during embryogenesis. </w:t>
      </w:r>
      <w:r w:rsidR="009D1F05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Viability of pups of the indicated </w:t>
      </w:r>
      <w:r w:rsidR="009D1F05" w:rsidRPr="004A7C2D">
        <w:rPr>
          <w:rFonts w:ascii="Times New Roman" w:eastAsia="Arial Unicode MS" w:hAnsi="Times New Roman"/>
          <w:i/>
          <w:color w:val="000000" w:themeColor="text1"/>
          <w:sz w:val="24"/>
          <w:szCs w:val="24"/>
        </w:rPr>
        <w:t>Mob1a/b</w:t>
      </w:r>
      <w:r w:rsidR="009D1F05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genotypes from crossbreeding with </w:t>
      </w:r>
      <w:r w:rsidR="009D1F05" w:rsidRPr="004A7C2D">
        <w:rPr>
          <w:rFonts w:ascii="Times New Roman" w:eastAsia="Arial Unicode MS" w:hAnsi="Times New Roman"/>
          <w:i/>
          <w:iCs/>
          <w:color w:val="000000" w:themeColor="text1"/>
          <w:sz w:val="24"/>
          <w:szCs w:val="24"/>
        </w:rPr>
        <w:t>Mob1a</w:t>
      </w:r>
      <w:r w:rsidR="009D1F05" w:rsidRPr="004A7C2D">
        <w:rPr>
          <w:rFonts w:ascii="Times New Roman" w:eastAsia="Arial Unicode MS" w:hAnsi="Times New Roman"/>
          <w:color w:val="000000" w:themeColor="text1"/>
          <w:sz w:val="24"/>
          <w:szCs w:val="24"/>
          <w:vertAlign w:val="superscript"/>
        </w:rPr>
        <w:t>f/+</w:t>
      </w:r>
      <w:r w:rsidR="009D1F05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; </w:t>
      </w:r>
      <w:r w:rsidR="009D1F05" w:rsidRPr="004A7C2D">
        <w:rPr>
          <w:rFonts w:ascii="Times New Roman" w:eastAsia="Arial Unicode MS" w:hAnsi="Times New Roman"/>
          <w:i/>
          <w:iCs/>
          <w:color w:val="000000" w:themeColor="text1"/>
          <w:sz w:val="24"/>
          <w:szCs w:val="24"/>
        </w:rPr>
        <w:t>Mob1b</w:t>
      </w:r>
      <w:r w:rsidR="009D1F05" w:rsidRPr="004A7C2D">
        <w:rPr>
          <w:rFonts w:ascii="Times New Roman" w:eastAsia="Arial Unicode MS" w:hAnsi="Times New Roman"/>
          <w:color w:val="000000" w:themeColor="text1"/>
          <w:sz w:val="24"/>
          <w:szCs w:val="24"/>
          <w:vertAlign w:val="superscript"/>
        </w:rPr>
        <w:t>-/-</w:t>
      </w:r>
      <w:r w:rsidR="009D1F05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; </w:t>
      </w:r>
      <w:proofErr w:type="spellStart"/>
      <w:r w:rsidR="009D1F05" w:rsidRPr="004A7C2D">
        <w:rPr>
          <w:rFonts w:ascii="Times New Roman" w:eastAsia="Arial Unicode MS" w:hAnsi="Times New Roman"/>
          <w:i/>
          <w:iCs/>
          <w:color w:val="000000" w:themeColor="text1"/>
          <w:sz w:val="24"/>
          <w:szCs w:val="24"/>
        </w:rPr>
        <w:t>Villin-Cre</w:t>
      </w:r>
      <w:proofErr w:type="spellEnd"/>
      <w:r w:rsidR="009D1F05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and </w:t>
      </w:r>
      <w:r w:rsidR="009D1F05" w:rsidRPr="004A7C2D">
        <w:rPr>
          <w:rFonts w:ascii="Times New Roman" w:eastAsia="Arial Unicode MS" w:hAnsi="Times New Roman"/>
          <w:i/>
          <w:iCs/>
          <w:color w:val="000000" w:themeColor="text1"/>
          <w:sz w:val="24"/>
          <w:szCs w:val="24"/>
        </w:rPr>
        <w:t>Mob1a</w:t>
      </w:r>
      <w:r w:rsidR="009D1F05" w:rsidRPr="004A7C2D">
        <w:rPr>
          <w:rFonts w:ascii="Times New Roman" w:eastAsia="Arial Unicode MS" w:hAnsi="Times New Roman"/>
          <w:color w:val="000000" w:themeColor="text1"/>
          <w:sz w:val="24"/>
          <w:szCs w:val="24"/>
          <w:vertAlign w:val="superscript"/>
        </w:rPr>
        <w:t>f/f</w:t>
      </w:r>
      <w:r w:rsidR="009D1F05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; </w:t>
      </w:r>
      <w:r w:rsidR="009D1F05" w:rsidRPr="004A7C2D">
        <w:rPr>
          <w:rFonts w:ascii="Times New Roman" w:eastAsia="Arial Unicode MS" w:hAnsi="Times New Roman"/>
          <w:i/>
          <w:iCs/>
          <w:color w:val="000000" w:themeColor="text1"/>
          <w:sz w:val="24"/>
          <w:szCs w:val="24"/>
        </w:rPr>
        <w:t>Mob1b</w:t>
      </w:r>
      <w:r w:rsidR="009D1F05" w:rsidRPr="004A7C2D">
        <w:rPr>
          <w:rFonts w:ascii="Times New Roman" w:eastAsia="Arial Unicode MS" w:hAnsi="Times New Roman"/>
          <w:color w:val="000000" w:themeColor="text1"/>
          <w:sz w:val="24"/>
          <w:szCs w:val="24"/>
          <w:vertAlign w:val="superscript"/>
        </w:rPr>
        <w:t>-/-</w:t>
      </w:r>
      <w:r w:rsidR="009D1F05" w:rsidRPr="004A7C2D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mice.</w:t>
      </w:r>
    </w:p>
    <w:p w:rsidR="009D1F05" w:rsidRPr="004A7C2D" w:rsidRDefault="009D1F05" w:rsidP="009D1F05">
      <w:pPr>
        <w:widowControl/>
        <w:wordWrap/>
        <w:autoSpaceDE/>
        <w:autoSpaceDN/>
        <w:spacing w:line="480" w:lineRule="auto"/>
        <w:rPr>
          <w:rFonts w:ascii="Times New Roman" w:eastAsia="Arial Unicode MS" w:hAnsi="Times New Roman"/>
          <w:color w:val="000000" w:themeColor="text1"/>
          <w:sz w:val="24"/>
          <w:szCs w:val="24"/>
        </w:rPr>
      </w:pPr>
    </w:p>
    <w:p w:rsidR="009D1F05" w:rsidRPr="004A7C2D" w:rsidRDefault="00EB0A77" w:rsidP="009D1F05">
      <w:pPr>
        <w:widowControl/>
        <w:wordWrap/>
        <w:autoSpaceDE/>
        <w:autoSpaceDN/>
        <w:spacing w:line="480" w:lineRule="auto"/>
        <w:rPr>
          <w:rFonts w:ascii="Times New Roman" w:eastAsia="Arial Unicode MS" w:hAnsi="Times New Roman"/>
          <w:color w:val="000000" w:themeColor="text1"/>
          <w:sz w:val="24"/>
          <w:szCs w:val="24"/>
        </w:rPr>
      </w:pPr>
      <w:r w:rsidRPr="004A7C2D">
        <w:rPr>
          <w:rFonts w:ascii="Times New Roman" w:eastAsia="Arial Unicode MS" w:hAnsi="Times New Roman"/>
          <w:b/>
          <w:color w:val="000000" w:themeColor="text1"/>
          <w:sz w:val="24"/>
          <w:szCs w:val="24"/>
        </w:rPr>
        <w:t>Supplementary</w:t>
      </w:r>
      <w:r w:rsidRPr="004A7C2D">
        <w:rPr>
          <w:rFonts w:ascii="Times New Roman" w:eastAsia="Arial Unicode MS" w:hAnsi="Times New Roman"/>
          <w:b/>
          <w:bCs/>
          <w:color w:val="000000" w:themeColor="text1"/>
          <w:sz w:val="24"/>
          <w:szCs w:val="24"/>
        </w:rPr>
        <w:t xml:space="preserve"> Table </w:t>
      </w:r>
      <w:r w:rsidR="009D1F05" w:rsidRPr="004A7C2D">
        <w:rPr>
          <w:rFonts w:ascii="Times New Roman" w:eastAsia="Arial Unicode MS" w:hAnsi="Times New Roman"/>
          <w:b/>
          <w:bCs/>
          <w:color w:val="000000" w:themeColor="text1"/>
          <w:sz w:val="24"/>
          <w:szCs w:val="24"/>
        </w:rPr>
        <w:t xml:space="preserve">2. </w:t>
      </w:r>
      <w:r w:rsidR="009D1F05" w:rsidRPr="004A7C2D">
        <w:rPr>
          <w:rFonts w:ascii="Times New Roman" w:eastAsia="Arial Unicode MS" w:hAnsi="Times New Roman"/>
          <w:b/>
          <w:color w:val="000000" w:themeColor="text1"/>
          <w:sz w:val="24"/>
          <w:szCs w:val="24"/>
        </w:rPr>
        <w:t>Primary antibodies for immunohistochemistry.</w:t>
      </w:r>
    </w:p>
    <w:p w:rsidR="009D1F05" w:rsidRPr="004A7C2D" w:rsidRDefault="009D1F05" w:rsidP="009D1F05">
      <w:pPr>
        <w:widowControl/>
        <w:wordWrap/>
        <w:autoSpaceDE/>
        <w:autoSpaceDN/>
        <w:spacing w:line="480" w:lineRule="auto"/>
        <w:rPr>
          <w:rFonts w:ascii="Times New Roman" w:eastAsia="Arial Unicode MS" w:hAnsi="Times New Roman"/>
          <w:color w:val="000000" w:themeColor="text1"/>
          <w:sz w:val="24"/>
          <w:szCs w:val="24"/>
        </w:rPr>
      </w:pPr>
    </w:p>
    <w:p w:rsidR="009D1F05" w:rsidRPr="004A7C2D" w:rsidRDefault="00EB0A77" w:rsidP="009D1F05">
      <w:pPr>
        <w:widowControl/>
        <w:wordWrap/>
        <w:autoSpaceDE/>
        <w:autoSpaceDN/>
        <w:spacing w:line="480" w:lineRule="auto"/>
        <w:rPr>
          <w:rFonts w:ascii="Times New Roman" w:eastAsia="Arial Unicode MS" w:hAnsi="Times New Roman"/>
          <w:b/>
          <w:color w:val="000000" w:themeColor="text1"/>
          <w:sz w:val="24"/>
          <w:szCs w:val="24"/>
        </w:rPr>
      </w:pPr>
      <w:r w:rsidRPr="004A7C2D">
        <w:rPr>
          <w:rFonts w:ascii="Times New Roman" w:eastAsia="Arial Unicode MS" w:hAnsi="Times New Roman"/>
          <w:b/>
          <w:color w:val="000000" w:themeColor="text1"/>
          <w:sz w:val="24"/>
          <w:szCs w:val="24"/>
        </w:rPr>
        <w:t>Supplementary</w:t>
      </w:r>
      <w:r w:rsidRPr="004A7C2D">
        <w:rPr>
          <w:rFonts w:ascii="Times New Roman" w:eastAsia="Arial Unicode MS" w:hAnsi="Times New Roman"/>
          <w:b/>
          <w:bCs/>
          <w:color w:val="000000" w:themeColor="text1"/>
          <w:sz w:val="24"/>
          <w:szCs w:val="24"/>
        </w:rPr>
        <w:t xml:space="preserve"> Table </w:t>
      </w:r>
      <w:r w:rsidR="009D1F05" w:rsidRPr="004A7C2D">
        <w:rPr>
          <w:rFonts w:ascii="Times New Roman" w:eastAsia="Arial Unicode MS" w:hAnsi="Times New Roman"/>
          <w:b/>
          <w:bCs/>
          <w:color w:val="000000" w:themeColor="text1"/>
          <w:sz w:val="24"/>
          <w:szCs w:val="24"/>
        </w:rPr>
        <w:t xml:space="preserve">3. </w:t>
      </w:r>
      <w:r w:rsidR="009D1F05" w:rsidRPr="004A7C2D">
        <w:rPr>
          <w:rFonts w:ascii="Times New Roman" w:eastAsia="Arial Unicode MS" w:hAnsi="Times New Roman"/>
          <w:b/>
          <w:color w:val="000000" w:themeColor="text1"/>
          <w:sz w:val="24"/>
          <w:szCs w:val="24"/>
        </w:rPr>
        <w:t>Primary antibodies for immunoblotting.</w:t>
      </w:r>
    </w:p>
    <w:p w:rsidR="009D1F05" w:rsidRPr="004A7C2D" w:rsidRDefault="009D1F05" w:rsidP="009D1F05">
      <w:pPr>
        <w:widowControl/>
        <w:wordWrap/>
        <w:autoSpaceDE/>
        <w:autoSpaceDN/>
        <w:spacing w:line="480" w:lineRule="auto"/>
        <w:rPr>
          <w:rFonts w:ascii="Times New Roman" w:eastAsia="Arial Unicode MS" w:hAnsi="Times New Roman"/>
          <w:color w:val="000000" w:themeColor="text1"/>
          <w:sz w:val="24"/>
          <w:szCs w:val="24"/>
        </w:rPr>
      </w:pPr>
    </w:p>
    <w:p w:rsidR="009D1F05" w:rsidRPr="004A7C2D" w:rsidRDefault="00EB0A77" w:rsidP="009D1F05">
      <w:pPr>
        <w:widowControl/>
        <w:wordWrap/>
        <w:autoSpaceDE/>
        <w:autoSpaceDN/>
        <w:spacing w:line="480" w:lineRule="auto"/>
        <w:rPr>
          <w:rFonts w:ascii="Times New Roman" w:eastAsia="Arial Unicode MS" w:hAnsi="Times New Roman"/>
          <w:b/>
          <w:color w:val="000000" w:themeColor="text1"/>
          <w:sz w:val="24"/>
          <w:szCs w:val="24"/>
        </w:rPr>
      </w:pPr>
      <w:r w:rsidRPr="004A7C2D">
        <w:rPr>
          <w:rFonts w:ascii="Times New Roman" w:eastAsia="Arial Unicode MS" w:hAnsi="Times New Roman"/>
          <w:b/>
          <w:color w:val="000000" w:themeColor="text1"/>
          <w:sz w:val="24"/>
          <w:szCs w:val="24"/>
        </w:rPr>
        <w:t>Supplementary</w:t>
      </w:r>
      <w:r w:rsidRPr="004A7C2D">
        <w:rPr>
          <w:rFonts w:ascii="Times New Roman" w:eastAsia="Arial Unicode MS" w:hAnsi="Times New Roman"/>
          <w:b/>
          <w:bCs/>
          <w:color w:val="000000" w:themeColor="text1"/>
          <w:sz w:val="24"/>
          <w:szCs w:val="24"/>
        </w:rPr>
        <w:t xml:space="preserve"> Table </w:t>
      </w:r>
      <w:r w:rsidR="009D1F05" w:rsidRPr="004A7C2D">
        <w:rPr>
          <w:rFonts w:ascii="Times New Roman" w:eastAsia="Arial Unicode MS" w:hAnsi="Times New Roman"/>
          <w:b/>
          <w:bCs/>
          <w:color w:val="000000" w:themeColor="text1"/>
          <w:sz w:val="24"/>
          <w:szCs w:val="24"/>
        </w:rPr>
        <w:t xml:space="preserve">4. </w:t>
      </w:r>
      <w:r w:rsidR="009D1F05" w:rsidRPr="004A7C2D">
        <w:rPr>
          <w:rFonts w:ascii="Times New Roman" w:eastAsia="Arial Unicode MS" w:hAnsi="Times New Roman"/>
          <w:b/>
          <w:color w:val="000000" w:themeColor="text1"/>
          <w:sz w:val="24"/>
          <w:szCs w:val="24"/>
        </w:rPr>
        <w:t xml:space="preserve">Mouse primer sequence used for quantitative or semi-quantitative PCR. </w:t>
      </w:r>
    </w:p>
    <w:p w:rsidR="009D1F05" w:rsidRPr="004A7C2D" w:rsidRDefault="009D1F05" w:rsidP="009D1F05">
      <w:pPr>
        <w:widowControl/>
        <w:wordWrap/>
        <w:autoSpaceDE/>
        <w:autoSpaceDN/>
        <w:spacing w:line="480" w:lineRule="auto"/>
        <w:rPr>
          <w:rFonts w:ascii="Times New Roman" w:eastAsia="Arial Unicode MS" w:hAnsi="Times New Roman"/>
          <w:color w:val="000000" w:themeColor="text1"/>
          <w:sz w:val="24"/>
          <w:szCs w:val="24"/>
        </w:rPr>
      </w:pPr>
    </w:p>
    <w:p w:rsidR="000E5814" w:rsidRPr="004A7C2D" w:rsidRDefault="00EB0A77" w:rsidP="009D1F05">
      <w:pPr>
        <w:widowControl/>
        <w:wordWrap/>
        <w:autoSpaceDE/>
        <w:autoSpaceDN/>
        <w:spacing w:line="480" w:lineRule="auto"/>
        <w:rPr>
          <w:rFonts w:ascii="Times New Roman" w:eastAsia="Arial Unicode MS" w:hAnsi="Times New Roman"/>
          <w:b/>
          <w:color w:val="000000" w:themeColor="text1"/>
          <w:sz w:val="24"/>
          <w:szCs w:val="24"/>
        </w:rPr>
      </w:pPr>
      <w:r w:rsidRPr="004A7C2D">
        <w:rPr>
          <w:rFonts w:ascii="Times New Roman" w:eastAsia="Arial Unicode MS" w:hAnsi="Times New Roman"/>
          <w:b/>
          <w:color w:val="000000" w:themeColor="text1"/>
          <w:sz w:val="24"/>
          <w:szCs w:val="24"/>
        </w:rPr>
        <w:t>Supplementary</w:t>
      </w:r>
      <w:r w:rsidRPr="004A7C2D">
        <w:rPr>
          <w:rFonts w:ascii="Times New Roman" w:eastAsia="Arial Unicode MS" w:hAnsi="Times New Roman"/>
          <w:b/>
          <w:bCs/>
          <w:color w:val="000000" w:themeColor="text1"/>
          <w:sz w:val="24"/>
          <w:szCs w:val="24"/>
        </w:rPr>
        <w:t xml:space="preserve"> Table </w:t>
      </w:r>
      <w:r w:rsidR="009D1F05" w:rsidRPr="004A7C2D">
        <w:rPr>
          <w:rFonts w:ascii="Times New Roman" w:eastAsia="Arial Unicode MS" w:hAnsi="Times New Roman"/>
          <w:b/>
          <w:bCs/>
          <w:color w:val="000000" w:themeColor="text1"/>
          <w:sz w:val="24"/>
          <w:szCs w:val="24"/>
        </w:rPr>
        <w:t xml:space="preserve">5. </w:t>
      </w:r>
      <w:r w:rsidR="009D1F05" w:rsidRPr="004A7C2D">
        <w:rPr>
          <w:rFonts w:ascii="Times New Roman" w:eastAsia="Arial Unicode MS" w:hAnsi="Times New Roman"/>
          <w:b/>
          <w:color w:val="000000" w:themeColor="text1"/>
          <w:sz w:val="24"/>
          <w:szCs w:val="24"/>
        </w:rPr>
        <w:t>Human primer sequence used for quantitative or semi-quantitative PCR</w:t>
      </w:r>
      <w:r w:rsidRPr="004A7C2D">
        <w:rPr>
          <w:rFonts w:ascii="Times New Roman" w:eastAsia="Arial Unicode MS" w:hAnsi="Times New Roman"/>
          <w:b/>
          <w:color w:val="000000" w:themeColor="text1"/>
          <w:sz w:val="24"/>
          <w:szCs w:val="24"/>
        </w:rPr>
        <w:t>.</w:t>
      </w:r>
      <w:r w:rsidR="009D1F05" w:rsidRPr="004A7C2D">
        <w:rPr>
          <w:rFonts w:ascii="Times New Roman" w:eastAsia="Arial Unicode MS" w:hAnsi="Times New Roman"/>
          <w:b/>
          <w:color w:val="000000" w:themeColor="text1"/>
          <w:sz w:val="24"/>
          <w:szCs w:val="24"/>
        </w:rPr>
        <w:t xml:space="preserve"> </w:t>
      </w:r>
    </w:p>
    <w:sectPr w:rsidR="000E5814" w:rsidRPr="004A7C2D" w:rsidSect="005829C0">
      <w:footerReference w:type="default" r:id="rId6"/>
      <w:pgSz w:w="11906" w:h="16838" w:code="9"/>
      <w:pgMar w:top="1701" w:right="1440" w:bottom="1440" w:left="1440" w:header="851" w:footer="992" w:gutter="0"/>
      <w:lnNumType w:countBy="1" w:restart="continuous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1D20" w:rsidRDefault="00B21D20">
      <w:pPr>
        <w:spacing w:after="0" w:line="240" w:lineRule="auto"/>
      </w:pPr>
      <w:r>
        <w:separator/>
      </w:r>
    </w:p>
  </w:endnote>
  <w:endnote w:type="continuationSeparator" w:id="0">
    <w:p w:rsidR="00B21D20" w:rsidRDefault="00B21D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돋움"/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7E96" w:rsidRDefault="003648A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Pr="00944017">
      <w:rPr>
        <w:noProof/>
        <w:lang w:val="ko-KR"/>
      </w:rPr>
      <w:t>12</w:t>
    </w:r>
    <w:r>
      <w:fldChar w:fldCharType="end"/>
    </w:r>
  </w:p>
  <w:p w:rsidR="00F47E96" w:rsidRDefault="003D616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1D20" w:rsidRDefault="00B21D20">
      <w:pPr>
        <w:spacing w:after="0" w:line="240" w:lineRule="auto"/>
      </w:pPr>
      <w:r>
        <w:separator/>
      </w:r>
    </w:p>
  </w:footnote>
  <w:footnote w:type="continuationSeparator" w:id="0">
    <w:p w:rsidR="00B21D20" w:rsidRDefault="00B21D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F05"/>
    <w:rsid w:val="00060388"/>
    <w:rsid w:val="000811BA"/>
    <w:rsid w:val="000F2542"/>
    <w:rsid w:val="0018332C"/>
    <w:rsid w:val="001C6AD9"/>
    <w:rsid w:val="001E6EB0"/>
    <w:rsid w:val="00270D38"/>
    <w:rsid w:val="003648A8"/>
    <w:rsid w:val="00384259"/>
    <w:rsid w:val="003D6165"/>
    <w:rsid w:val="003F0606"/>
    <w:rsid w:val="004065BD"/>
    <w:rsid w:val="004A7C2D"/>
    <w:rsid w:val="00530902"/>
    <w:rsid w:val="0056136F"/>
    <w:rsid w:val="005E6776"/>
    <w:rsid w:val="00803CC9"/>
    <w:rsid w:val="008055A1"/>
    <w:rsid w:val="009D1F05"/>
    <w:rsid w:val="00B21D20"/>
    <w:rsid w:val="00BC0509"/>
    <w:rsid w:val="00C81DE3"/>
    <w:rsid w:val="00D242B0"/>
    <w:rsid w:val="00DF645D"/>
    <w:rsid w:val="00EB0A77"/>
    <w:rsid w:val="00EE1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F4943CAA-751A-4D55-BE14-A34DB1AB2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D1F05"/>
    <w:pPr>
      <w:widowControl w:val="0"/>
      <w:wordWrap w:val="0"/>
      <w:autoSpaceDE w:val="0"/>
      <w:autoSpaceDN w:val="0"/>
    </w:pPr>
    <w:rPr>
      <w:rFonts w:ascii="맑은 고딕" w:eastAsia="맑은 고딕" w:hAnsi="맑은 고딕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9D1F05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바닥글 Char"/>
    <w:basedOn w:val="a0"/>
    <w:link w:val="a3"/>
    <w:uiPriority w:val="99"/>
    <w:rsid w:val="009D1F05"/>
    <w:rPr>
      <w:rFonts w:ascii="맑은 고딕" w:eastAsia="맑은 고딕" w:hAnsi="맑은 고딕" w:cs="Times New Roman"/>
    </w:rPr>
  </w:style>
  <w:style w:type="character" w:styleId="a4">
    <w:name w:val="line number"/>
    <w:basedOn w:val="a0"/>
    <w:uiPriority w:val="99"/>
    <w:semiHidden/>
    <w:unhideWhenUsed/>
    <w:rsid w:val="009D1F05"/>
  </w:style>
  <w:style w:type="paragraph" w:styleId="a5">
    <w:name w:val="header"/>
    <w:basedOn w:val="a"/>
    <w:link w:val="Char0"/>
    <w:uiPriority w:val="99"/>
    <w:unhideWhenUsed/>
    <w:rsid w:val="0038425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384259"/>
    <w:rPr>
      <w:rFonts w:ascii="맑은 고딕" w:eastAsia="맑은 고딕" w:hAnsi="맑은 고딕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배 준성</dc:creator>
  <cp:keywords/>
  <dc:description/>
  <cp:lastModifiedBy>배 준성</cp:lastModifiedBy>
  <cp:revision>10</cp:revision>
  <dcterms:created xsi:type="dcterms:W3CDTF">2018-05-02T05:11:00Z</dcterms:created>
  <dcterms:modified xsi:type="dcterms:W3CDTF">2018-08-29T05:24:00Z</dcterms:modified>
</cp:coreProperties>
</file>