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8B7" w:rsidRPr="00114A6A" w:rsidRDefault="00AC28B7" w:rsidP="00AC28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bookmarkStart w:id="0" w:name="_GoBack"/>
      <w:bookmarkEnd w:id="0"/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SUPPLEMENTARY FIGURE LEGENDS</w:t>
      </w:r>
    </w:p>
    <w:p w:rsidR="00AC28B7" w:rsidRPr="00114A6A" w:rsidRDefault="00AC28B7" w:rsidP="00AC28B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</w:p>
    <w:p w:rsidR="00AC28B7" w:rsidRPr="00114A6A" w:rsidRDefault="00AC28B7" w:rsidP="00AC28B7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</w:p>
    <w:p w:rsidR="00AC28B7" w:rsidRPr="00114A6A" w:rsidRDefault="00AC28B7" w:rsidP="00AC28B7">
      <w:p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Supplementary Figure 1. Heterogeneous basal levels of Bcl-2 family proteins between control naïve and memory </w:t>
      </w:r>
      <w:r w:rsidR="003F5198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B-cells</w:t>
      </w: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.</w:t>
      </w:r>
    </w:p>
    <w:p w:rsidR="00AC28B7" w:rsidRPr="00114A6A" w:rsidRDefault="00AC28B7" w:rsidP="00AC28B7">
      <w:p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GB"/>
        </w:rPr>
      </w:pP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MFI levels of Bcl-2 (upper left), Bcl-XL (upper right), Bax (lower left) and Bim (lower right) in naïve CD19+CD27− (white bars) and memory CD19+CD27+ (grey bars) </w:t>
      </w:r>
      <w:r w:rsidR="003F5198">
        <w:rPr>
          <w:rFonts w:ascii="Times New Roman" w:hAnsi="Times New Roman" w:cs="Times New Roman"/>
          <w:bCs/>
          <w:iCs/>
          <w:sz w:val="24"/>
          <w:szCs w:val="24"/>
          <w:lang w:val="en-GB"/>
        </w:rPr>
        <w:t>B-cells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from controls detected in ex vivo freshly isolated cells (Panels A) and in vitro (Panels B) cultured cells without stimulation (Panels C and D). Data are given as medians and 25-75th percentiles from 20 independent experiments (Mann–Whitney test P-values: P&lt;0.001***). MFI: median fluorescence intensity.</w:t>
      </w:r>
    </w:p>
    <w:p w:rsidR="00AC28B7" w:rsidRPr="00114A6A" w:rsidRDefault="00AC28B7" w:rsidP="00AC28B7">
      <w:pPr>
        <w:tabs>
          <w:tab w:val="left" w:pos="567"/>
        </w:tabs>
        <w:spacing w:before="240" w:after="0" w:line="48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Supplementary Figure 2. Different stimulation-induced levels of Bcl-2 family proteins between control naïve and memory </w:t>
      </w:r>
      <w:r w:rsidR="003F5198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B-cells</w:t>
      </w: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.</w:t>
      </w:r>
    </w:p>
    <w:p w:rsidR="00AC28B7" w:rsidRPr="00114A6A" w:rsidRDefault="00AC28B7" w:rsidP="00AC28B7">
      <w:p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MFI ratios of Bcl-2, Bcl-XL, Bax and Bim in naïve CD19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CD27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−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(white bars) and memory CD19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CD27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(grey bars) control </w:t>
      </w:r>
      <w:r w:rsidR="003F5198">
        <w:rPr>
          <w:rFonts w:ascii="Times New Roman" w:hAnsi="Times New Roman" w:cs="Times New Roman"/>
          <w:bCs/>
          <w:iCs/>
          <w:sz w:val="24"/>
          <w:szCs w:val="24"/>
          <w:lang w:val="en-US"/>
        </w:rPr>
        <w:t>B-cells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unstimulated and after activation with anti-BCR (Panel A) or anti-CD40 (Panel B). Data are given as medians and 25-75th percentiles 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>from 20 independent experiments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(Mann–Whitney test P-values: P&lt;0.05*; P&lt;0.01**; P&lt;0.001***). MFI: median fluorescence intensity.</w:t>
      </w:r>
    </w:p>
    <w:p w:rsidR="00AC28B7" w:rsidRPr="00114A6A" w:rsidRDefault="00AC28B7" w:rsidP="00AC28B7">
      <w:pPr>
        <w:tabs>
          <w:tab w:val="left" w:pos="567"/>
        </w:tabs>
        <w:spacing w:before="240" w:after="0" w:line="48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Supplementary Figure 3. </w:t>
      </w:r>
      <w:r w:rsidR="003F5198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B-cells</w:t>
      </w: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 </w:t>
      </w:r>
      <w:r w:rsidRPr="00114A6A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in vitro</w:t>
      </w: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 survival is differently influenced by stimulation between </w:t>
      </w:r>
      <w:r w:rsidR="00D02712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healthy </w:t>
      </w: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controls and CVID patients.</w:t>
      </w:r>
    </w:p>
    <w:p w:rsidR="00AC28B7" w:rsidRPr="00114A6A" w:rsidRDefault="00AC28B7" w:rsidP="00AC28B7">
      <w:p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Percentages of viable 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(</w:t>
      </w:r>
      <w:r w:rsidRPr="00114A6A">
        <w:rPr>
          <w:rFonts w:ascii="Times New Roman" w:hAnsi="Times New Roman" w:cs="Times New Roman"/>
          <w:sz w:val="24"/>
          <w:szCs w:val="24"/>
          <w:lang w:val="en-US"/>
        </w:rPr>
        <w:t>Viability Dye-eFluor520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 xml:space="preserve"> 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negative) naïve CD19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CD27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−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(Panel A) and memory CD19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CD27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(Panel B) </w:t>
      </w:r>
      <w:r w:rsidR="003F5198">
        <w:rPr>
          <w:rFonts w:ascii="Times New Roman" w:hAnsi="Times New Roman" w:cs="Times New Roman"/>
          <w:bCs/>
          <w:iCs/>
          <w:sz w:val="24"/>
          <w:szCs w:val="24"/>
          <w:lang w:val="en-US"/>
        </w:rPr>
        <w:t>B-cells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unstimulated (circles) and after activation with anti-BCR (triangles) or anti-CD40 (rhombus) in controls (white), CVID (light grey) and apoptosis-prone CVID (dark grey) patients. Data are given as medians (Wilcoxon test P-values: P&lt;0.05*; P&lt;0.01**; P&lt;0.001***). HC: healthy controls 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lastRenderedPageBreak/>
        <w:t>(n=20); CVID: Common Variable Immunodeficiency patients (n=12); AP-CVID: apoptosis-prone CVID patients (n=7).</w:t>
      </w:r>
    </w:p>
    <w:p w:rsidR="00AC28B7" w:rsidRPr="00114A6A" w:rsidRDefault="00AC28B7" w:rsidP="00AC28B7">
      <w:pPr>
        <w:tabs>
          <w:tab w:val="left" w:pos="567"/>
        </w:tabs>
        <w:spacing w:before="240" w:after="0" w:line="48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Supplementary Figure 4. Distinct stimulation-induced levels of viable and apoptotic cells between control naïve and memory </w:t>
      </w:r>
      <w:r w:rsidR="003F5198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B-cells</w:t>
      </w: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.</w:t>
      </w:r>
    </w:p>
    <w:p w:rsidR="00AC28B7" w:rsidRPr="00114A6A" w:rsidRDefault="00AC28B7" w:rsidP="00AC28B7">
      <w:p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bookmarkStart w:id="1" w:name="_Hlk527890631"/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Ratios of percentage of total </w:t>
      </w:r>
      <w:r w:rsidR="003F5198">
        <w:rPr>
          <w:rFonts w:ascii="Times New Roman" w:hAnsi="Times New Roman" w:cs="Times New Roman"/>
          <w:bCs/>
          <w:iCs/>
          <w:sz w:val="24"/>
          <w:szCs w:val="24"/>
          <w:lang w:val="en-US"/>
        </w:rPr>
        <w:t>Caspase-3-activated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naïve CD19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CD27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−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(white bars) and memory CD19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CD27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(grey bars) control </w:t>
      </w:r>
      <w:r w:rsidR="003F5198">
        <w:rPr>
          <w:rFonts w:ascii="Times New Roman" w:hAnsi="Times New Roman" w:cs="Times New Roman"/>
          <w:bCs/>
          <w:iCs/>
          <w:sz w:val="24"/>
          <w:szCs w:val="24"/>
          <w:lang w:val="en-US"/>
        </w:rPr>
        <w:t>B-cells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unstimulated and after activation with anti-BCR (Panel A) or anti-CD40 (Panel B). Data are given as medians and 25-75th percentiles from 9 independent experiments (Mann–Whitney test P-values: P&lt;0.001***). Percentages of viable, </w:t>
      </w:r>
      <w:r w:rsidR="00764975">
        <w:rPr>
          <w:rFonts w:ascii="Times New Roman" w:hAnsi="Times New Roman" w:cs="Times New Roman"/>
          <w:bCs/>
          <w:iCs/>
          <w:sz w:val="24"/>
          <w:szCs w:val="24"/>
          <w:lang w:val="en-US"/>
        </w:rPr>
        <w:t>early-apoptotic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</w:t>
      </w:r>
      <w:r w:rsidR="003F5198">
        <w:rPr>
          <w:rFonts w:ascii="Times New Roman" w:hAnsi="Times New Roman" w:cs="Times New Roman"/>
          <w:bCs/>
          <w:iCs/>
          <w:sz w:val="24"/>
          <w:szCs w:val="24"/>
          <w:lang w:val="en-US"/>
        </w:rPr>
        <w:t>intermediate-apoptotic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and </w:t>
      </w:r>
      <w:r w:rsidR="00764975">
        <w:rPr>
          <w:rFonts w:ascii="Times New Roman" w:hAnsi="Times New Roman" w:cs="Times New Roman"/>
          <w:bCs/>
          <w:iCs/>
          <w:sz w:val="24"/>
          <w:szCs w:val="24"/>
          <w:lang w:val="en-US"/>
        </w:rPr>
        <w:t>late-apoptotic/necrotic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cells in naïve CD19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CD27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−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(Panel C) and memory CD19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CD27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 (Panel D) control </w:t>
      </w:r>
      <w:r w:rsidR="003F5198">
        <w:rPr>
          <w:rFonts w:ascii="Times New Roman" w:hAnsi="Times New Roman" w:cs="Times New Roman"/>
          <w:bCs/>
          <w:iCs/>
          <w:sz w:val="24"/>
          <w:szCs w:val="24"/>
          <w:lang w:val="en-US"/>
        </w:rPr>
        <w:t>B-cells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unstimulated (circles) and after activation with anti-BCR (triangles) or anti-CD40 (rhombus). Data are given as medians from 9 independent experiments (Wilcoxon test P-values: P&lt;0.05*; P&lt;0.01**).</w:t>
      </w:r>
    </w:p>
    <w:bookmarkEnd w:id="1"/>
    <w:p w:rsidR="00AC28B7" w:rsidRPr="00114A6A" w:rsidRDefault="00AC28B7" w:rsidP="00AC28B7">
      <w:pPr>
        <w:tabs>
          <w:tab w:val="left" w:pos="567"/>
        </w:tabs>
        <w:spacing w:before="240" w:after="0" w:line="48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Supplementary Figure 5. Bcl-2 family proteins expression is distinctively modulated by IL-21 co-stimulation in control naïve and memory </w:t>
      </w:r>
      <w:r w:rsidR="003F5198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B-cells</w:t>
      </w: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. </w:t>
      </w:r>
    </w:p>
    <w:p w:rsidR="00AC28B7" w:rsidRPr="00114A6A" w:rsidRDefault="00AC28B7" w:rsidP="00AC28B7">
      <w:p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GB"/>
        </w:rPr>
      </w:pP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MFI ratios of Bcl-2, Bcl-XL, Bax and Bim in naïve CD19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CD27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–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(Panel A) and memory CD19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CD27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(Panel B) control </w:t>
      </w:r>
      <w:r w:rsidR="003F5198">
        <w:rPr>
          <w:rFonts w:ascii="Times New Roman" w:hAnsi="Times New Roman" w:cs="Times New Roman"/>
          <w:bCs/>
          <w:iCs/>
          <w:sz w:val="24"/>
          <w:szCs w:val="24"/>
          <w:lang w:val="en-US"/>
        </w:rPr>
        <w:t>B-cells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unstimulated (left) and after activation with anti-BCR (middle) or anti-CD40 (right) in the presence or absence of IL-21 (respectively grey and white). Data are given as medians 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from 20 independent experiments 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(Wilcoxon test P-values: P&lt;0.05*; P&lt;0.01**; P&lt;0.001***).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MFI: median fluorescence intensity.</w:t>
      </w:r>
    </w:p>
    <w:p w:rsidR="00AC28B7" w:rsidRPr="00114A6A" w:rsidRDefault="00AC28B7" w:rsidP="00AC28B7">
      <w:p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GB"/>
        </w:rPr>
      </w:pPr>
    </w:p>
    <w:p w:rsidR="00AC28B7" w:rsidRPr="00114A6A" w:rsidRDefault="00AC28B7" w:rsidP="00AC28B7">
      <w:p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</w:p>
    <w:p w:rsidR="00AC28B7" w:rsidRPr="00114A6A" w:rsidRDefault="00AC28B7" w:rsidP="00AC28B7">
      <w:pPr>
        <w:tabs>
          <w:tab w:val="left" w:pos="567"/>
        </w:tabs>
        <w:spacing w:before="240" w:after="0" w:line="48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lastRenderedPageBreak/>
        <w:t xml:space="preserve">Supplementary Figure 6. </w:t>
      </w:r>
      <w:r w:rsidR="003F5198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B-cells</w:t>
      </w: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 </w:t>
      </w:r>
      <w:r w:rsidRPr="00114A6A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in vitro</w:t>
      </w: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 survival is differently influenced by IL-21 co-stimulation between </w:t>
      </w:r>
      <w:r w:rsidR="00D02712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healthy </w:t>
      </w: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controls and CVID patients.</w:t>
      </w:r>
    </w:p>
    <w:p w:rsidR="00AC28B7" w:rsidRPr="00114A6A" w:rsidRDefault="00AC28B7" w:rsidP="00AC28B7">
      <w:p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Percentages of viable 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(</w:t>
      </w:r>
      <w:r w:rsidRPr="00114A6A">
        <w:rPr>
          <w:rFonts w:ascii="Times New Roman" w:hAnsi="Times New Roman" w:cs="Times New Roman"/>
          <w:sz w:val="24"/>
          <w:szCs w:val="24"/>
          <w:lang w:val="en-US"/>
        </w:rPr>
        <w:t>Viability Dye-eFluor520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 xml:space="preserve"> 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negative) naïve CD19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CD27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−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(Panel A) and memory CD19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CD27</w:t>
      </w:r>
      <w:r w:rsidRPr="00114A6A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(Panel B) </w:t>
      </w:r>
      <w:r w:rsidR="003F5198">
        <w:rPr>
          <w:rFonts w:ascii="Times New Roman" w:hAnsi="Times New Roman" w:cs="Times New Roman"/>
          <w:bCs/>
          <w:iCs/>
          <w:sz w:val="24"/>
          <w:szCs w:val="24"/>
          <w:lang w:val="en-US"/>
        </w:rPr>
        <w:t>B-cells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unstimulated (circles) and after activation with IL-21 alone (squares), anti-BCR+IL-21 (rhombus) or anti-CD40+IL-21 (triangles) in controls (white), CVID (light grey) and apoptosis-prone CVID (dark grey) patients. Data are given as medians (Wilcoxon test P-values: P&lt;0.01**; P&lt;0.001***). HC: healthy controls (n=20); CVID: Common Variable Immunodeficiency patients (n=12); AP-CVID: apoptosis-prone CVID patients (n=7).</w:t>
      </w:r>
    </w:p>
    <w:p w:rsidR="00AC28B7" w:rsidRPr="00114A6A" w:rsidRDefault="00AC28B7" w:rsidP="00AC28B7">
      <w:pPr>
        <w:tabs>
          <w:tab w:val="left" w:pos="567"/>
        </w:tabs>
        <w:spacing w:before="240" w:after="0" w:line="48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 xml:space="preserve">Supplementary Figure 7. Distinct IL-21-induced levels of viable and apoptotic cells between control naïve and memory </w:t>
      </w:r>
      <w:r w:rsidR="003F5198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B-cells</w:t>
      </w:r>
      <w:r w:rsidRPr="00114A6A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.</w:t>
      </w:r>
    </w:p>
    <w:p w:rsidR="00AC28B7" w:rsidRPr="00F40EA4" w:rsidRDefault="00AC28B7" w:rsidP="00AC28B7">
      <w:p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GB"/>
        </w:rPr>
      </w:pP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Ratios of percentage of total </w:t>
      </w:r>
      <w:r w:rsidR="003F5198">
        <w:rPr>
          <w:rFonts w:ascii="Times New Roman" w:hAnsi="Times New Roman" w:cs="Times New Roman"/>
          <w:bCs/>
          <w:iCs/>
          <w:sz w:val="24"/>
          <w:szCs w:val="24"/>
          <w:lang w:val="en-GB"/>
        </w:rPr>
        <w:t>Caspase-3-activated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naïve CD19+CD27− (white bars) and memory CD19+CD27+ (grey bars) control </w:t>
      </w:r>
      <w:r w:rsidR="003F5198">
        <w:rPr>
          <w:rFonts w:ascii="Times New Roman" w:hAnsi="Times New Roman" w:cs="Times New Roman"/>
          <w:bCs/>
          <w:iCs/>
          <w:sz w:val="24"/>
          <w:szCs w:val="24"/>
          <w:lang w:val="en-GB"/>
        </w:rPr>
        <w:t>B-cells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(Panel A), unstimulated and after activation with IL-21 alone (left), anti-BCR+IL-21 (middle) or anti-CD40+IL-21 (right). Data are given as medians and 25-75th percentiles from 9 independent experiments (Mann–Whitney test P-values: 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US"/>
        </w:rPr>
        <w:t>P&lt;0.05*; P&lt;0.01**; P&lt;0.001***).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Percentages of viable, </w:t>
      </w:r>
      <w:r w:rsidR="00764975">
        <w:rPr>
          <w:rFonts w:ascii="Times New Roman" w:hAnsi="Times New Roman" w:cs="Times New Roman"/>
          <w:bCs/>
          <w:iCs/>
          <w:sz w:val="24"/>
          <w:szCs w:val="24"/>
          <w:lang w:val="en-GB"/>
        </w:rPr>
        <w:t>early-apoptotic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, </w:t>
      </w:r>
      <w:r w:rsidR="003F5198">
        <w:rPr>
          <w:rFonts w:ascii="Times New Roman" w:hAnsi="Times New Roman" w:cs="Times New Roman"/>
          <w:bCs/>
          <w:iCs/>
          <w:sz w:val="24"/>
          <w:szCs w:val="24"/>
          <w:lang w:val="en-GB"/>
        </w:rPr>
        <w:t>intermediate-apoptotic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and </w:t>
      </w:r>
      <w:r w:rsidR="00764975">
        <w:rPr>
          <w:rFonts w:ascii="Times New Roman" w:hAnsi="Times New Roman" w:cs="Times New Roman"/>
          <w:bCs/>
          <w:iCs/>
          <w:sz w:val="24"/>
          <w:szCs w:val="24"/>
          <w:lang w:val="en-GB"/>
        </w:rPr>
        <w:t>late-apoptotic/necrotic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cells in naïve CD19+CD27− (Panel B) and memory CD19+CD27+ (Panel C) control </w:t>
      </w:r>
      <w:r w:rsidR="003F5198">
        <w:rPr>
          <w:rFonts w:ascii="Times New Roman" w:hAnsi="Times New Roman" w:cs="Times New Roman"/>
          <w:bCs/>
          <w:iCs/>
          <w:sz w:val="24"/>
          <w:szCs w:val="24"/>
          <w:lang w:val="en-GB"/>
        </w:rPr>
        <w:t>B-cells</w:t>
      </w:r>
      <w:r w:rsidRPr="00114A6A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unstimulated (circles) and after activation with IL-21 alone (squares), anti-BCR+IL-21 (rhombus) or anti-CD40+IL-21 (triangles). Data are given as medians from 9 independent experiments (Wilcoxon test P-values: P&lt;0.05*; P&lt;0.01**).</w:t>
      </w:r>
    </w:p>
    <w:p w:rsidR="002F59C1" w:rsidRPr="00AC28B7" w:rsidRDefault="00305BE2">
      <w:pPr>
        <w:rPr>
          <w:lang w:val="en-GB"/>
        </w:rPr>
      </w:pPr>
    </w:p>
    <w:sectPr w:rsidR="002F59C1" w:rsidRPr="00AC28B7" w:rsidSect="008C3ED6">
      <w:footerReference w:type="default" r:id="rId7"/>
      <w:pgSz w:w="11906" w:h="16838"/>
      <w:pgMar w:top="1418" w:right="1701" w:bottom="1418" w:left="1701" w:header="709" w:footer="709" w:gutter="0"/>
      <w:lnNumType w:countBy="1" w:distance="1134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BE2" w:rsidRDefault="00305BE2">
      <w:pPr>
        <w:spacing w:after="0" w:line="240" w:lineRule="auto"/>
      </w:pPr>
      <w:r>
        <w:separator/>
      </w:r>
    </w:p>
  </w:endnote>
  <w:endnote w:type="continuationSeparator" w:id="0">
    <w:p w:rsidR="00305BE2" w:rsidRDefault="00305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6087845"/>
      <w:docPartObj>
        <w:docPartGallery w:val="Page Numbers (Bottom of Page)"/>
        <w:docPartUnique/>
      </w:docPartObj>
    </w:sdtPr>
    <w:sdtEndPr/>
    <w:sdtContent>
      <w:p w:rsidR="00C34DDB" w:rsidRDefault="00AC28B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E22">
          <w:rPr>
            <w:noProof/>
          </w:rPr>
          <w:t>3</w:t>
        </w:r>
        <w:r>
          <w:fldChar w:fldCharType="end"/>
        </w:r>
      </w:p>
    </w:sdtContent>
  </w:sdt>
  <w:p w:rsidR="00C34DDB" w:rsidRDefault="00305BE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BE2" w:rsidRDefault="00305BE2">
      <w:pPr>
        <w:spacing w:after="0" w:line="240" w:lineRule="auto"/>
      </w:pPr>
      <w:r>
        <w:separator/>
      </w:r>
    </w:p>
  </w:footnote>
  <w:footnote w:type="continuationSeparator" w:id="0">
    <w:p w:rsidR="00305BE2" w:rsidRDefault="00305B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8B7"/>
    <w:rsid w:val="00114A6A"/>
    <w:rsid w:val="001B2089"/>
    <w:rsid w:val="00305BE2"/>
    <w:rsid w:val="003E336D"/>
    <w:rsid w:val="003F5198"/>
    <w:rsid w:val="00456DE9"/>
    <w:rsid w:val="0052592A"/>
    <w:rsid w:val="006222C1"/>
    <w:rsid w:val="00656F2C"/>
    <w:rsid w:val="0071330E"/>
    <w:rsid w:val="00764975"/>
    <w:rsid w:val="00AC28B7"/>
    <w:rsid w:val="00B94FFF"/>
    <w:rsid w:val="00BD566D"/>
    <w:rsid w:val="00BF6313"/>
    <w:rsid w:val="00CA4F7B"/>
    <w:rsid w:val="00D02712"/>
    <w:rsid w:val="00F6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8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AC28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28B7"/>
  </w:style>
  <w:style w:type="character" w:styleId="Nmerodelnea">
    <w:name w:val="line number"/>
    <w:basedOn w:val="Fuentedeprrafopredeter"/>
    <w:uiPriority w:val="99"/>
    <w:semiHidden/>
    <w:unhideWhenUsed/>
    <w:rsid w:val="00AC28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8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AC28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28B7"/>
  </w:style>
  <w:style w:type="character" w:styleId="Nmerodelnea">
    <w:name w:val="line number"/>
    <w:basedOn w:val="Fuentedeprrafopredeter"/>
    <w:uiPriority w:val="99"/>
    <w:semiHidden/>
    <w:unhideWhenUsed/>
    <w:rsid w:val="00AC2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Hospital Universitari Son Espases</Company>
  <LinksUpToDate>false</LinksUpToDate>
  <CharactersWithSpaces>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Clemente Ximenis</dc:creator>
  <cp:lastModifiedBy>Juana Maria Ferrer Balaguer</cp:lastModifiedBy>
  <cp:revision>2</cp:revision>
  <dcterms:created xsi:type="dcterms:W3CDTF">2018-10-31T09:14:00Z</dcterms:created>
  <dcterms:modified xsi:type="dcterms:W3CDTF">2018-10-31T09:14:00Z</dcterms:modified>
</cp:coreProperties>
</file>