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6B" w:rsidRPr="00C8426A" w:rsidRDefault="00AA4A6B" w:rsidP="00AA4A6B">
      <w:pPr>
        <w:jc w:val="both"/>
        <w:rPr>
          <w:b/>
        </w:rPr>
      </w:pPr>
      <w:r w:rsidRPr="00C8426A">
        <w:rPr>
          <w:b/>
        </w:rPr>
        <w:t>Supplementary Figure Legends</w:t>
      </w:r>
    </w:p>
    <w:p w:rsidR="00AA4A6B" w:rsidRPr="00C8426A" w:rsidRDefault="00AA4A6B" w:rsidP="00AA4A6B">
      <w:pPr>
        <w:jc w:val="both"/>
      </w:pPr>
      <w:proofErr w:type="gramStart"/>
      <w:r w:rsidRPr="00C8426A">
        <w:rPr>
          <w:b/>
        </w:rPr>
        <w:t>Supplementary Figure 1.</w:t>
      </w:r>
      <w:proofErr w:type="gramEnd"/>
      <w:r w:rsidRPr="00C8426A">
        <w:rPr>
          <w:b/>
        </w:rPr>
        <w:t xml:space="preserve"> </w:t>
      </w:r>
      <w:r w:rsidRPr="00C8426A">
        <w:t xml:space="preserve">Images showing CD166 levels and population detected by flow </w:t>
      </w:r>
      <w:bookmarkStart w:id="0" w:name="_GoBack"/>
      <w:bookmarkEnd w:id="0"/>
      <w:r w:rsidRPr="00C8426A">
        <w:t>cytometry from two different OAC samples after monolayer culture. Dedifferentiation detected by increased levels of CD166 is correlated with the number of passages in culture (S</w:t>
      </w:r>
      <w:r w:rsidRPr="00C8426A">
        <w:rPr>
          <w:vertAlign w:val="subscript"/>
        </w:rPr>
        <w:t>0</w:t>
      </w:r>
      <w:r w:rsidRPr="00C8426A">
        <w:t>–S</w:t>
      </w:r>
      <w:r w:rsidRPr="00C8426A">
        <w:rPr>
          <w:vertAlign w:val="subscript"/>
        </w:rPr>
        <w:t>3</w:t>
      </w:r>
      <w:r w:rsidRPr="00C8426A">
        <w:t>).</w:t>
      </w:r>
    </w:p>
    <w:p w:rsidR="00AA4A6B" w:rsidRPr="00C8426A" w:rsidRDefault="00AA4A6B" w:rsidP="00AA4A6B">
      <w:pPr>
        <w:jc w:val="both"/>
      </w:pPr>
    </w:p>
    <w:p w:rsidR="00AA4A6B" w:rsidRDefault="00AA4A6B" w:rsidP="00AA4A6B">
      <w:pPr>
        <w:jc w:val="both"/>
      </w:pPr>
      <w:proofErr w:type="gramStart"/>
      <w:r w:rsidRPr="00C8426A">
        <w:rPr>
          <w:b/>
        </w:rPr>
        <w:t>Supplementary Figure 2.</w:t>
      </w:r>
      <w:proofErr w:type="gramEnd"/>
      <w:r w:rsidRPr="00C8426A">
        <w:t xml:space="preserve"> </w:t>
      </w:r>
      <w:r>
        <w:t>(</w:t>
      </w:r>
      <w:r>
        <w:rPr>
          <w:b/>
        </w:rPr>
        <w:t>a</w:t>
      </w:r>
      <w:r>
        <w:t>) Immunohistochemistry of Cx43 and Col2A1 in OACs cultured as a micromass pellet for 30 days in the presence of normal growth medium (Growth M) or in chondrogenic medium (CM). (</w:t>
      </w:r>
      <w:r w:rsidRPr="00D550CA">
        <w:rPr>
          <w:b/>
        </w:rPr>
        <w:t>b</w:t>
      </w:r>
      <w:r>
        <w:t xml:space="preserve">) </w:t>
      </w:r>
      <w:r w:rsidRPr="00D550CA">
        <w:t>Comparative</w:t>
      </w:r>
      <w:r>
        <w:t xml:space="preserve"> images </w:t>
      </w:r>
      <w:proofErr w:type="gramStart"/>
      <w:r>
        <w:t>of</w:t>
      </w:r>
      <w:proofErr w:type="gramEnd"/>
      <w:r>
        <w:t xml:space="preserve"> OACs</w:t>
      </w:r>
      <w:r w:rsidRPr="00C8426A">
        <w:t xml:space="preserve"> and healthy chondrocytes (N) </w:t>
      </w:r>
      <w:r>
        <w:t xml:space="preserve">in a 3D culture in chondrogenic medium (CM) versus growth medium. </w:t>
      </w:r>
      <w:proofErr w:type="gramStart"/>
      <w:r>
        <w:t>Chondrogenesis was evaluated by the levels of PGs (toluidine blue staining) and Col2A1</w:t>
      </w:r>
      <w:proofErr w:type="gramEnd"/>
      <w:r>
        <w:t xml:space="preserve">. Quantification for Col2A1 and Toluidine Blue are shown below (n=5; </w:t>
      </w:r>
      <w:r w:rsidRPr="00C8426A">
        <w:t>mean±s.e.m</w:t>
      </w:r>
      <w:proofErr w:type="gramStart"/>
      <w:r w:rsidRPr="00C8426A">
        <w:t>.;</w:t>
      </w:r>
      <w:proofErr w:type="gramEnd"/>
      <w:r w:rsidRPr="00C8426A">
        <w:t xml:space="preserve"> *</w:t>
      </w:r>
      <w:r>
        <w:t>*</w:t>
      </w:r>
      <w:r w:rsidRPr="00C8426A">
        <w:rPr>
          <w:i/>
        </w:rPr>
        <w:t>P</w:t>
      </w:r>
      <w:r>
        <w:t>&lt;0.01</w:t>
      </w:r>
      <w:r w:rsidRPr="00C8426A">
        <w:t>, ***</w:t>
      </w:r>
      <w:r w:rsidRPr="00C8426A">
        <w:rPr>
          <w:i/>
        </w:rPr>
        <w:t>P</w:t>
      </w:r>
      <w:r w:rsidRPr="00C8426A">
        <w:t xml:space="preserve">&lt;0.0001; </w:t>
      </w:r>
      <w:r>
        <w:t xml:space="preserve">one-way ANOVA). The ratio (fold change) of Col2A1 and Toluidine Blue in OACs and healthy chondrocytes in growth medium and CM are showed on the right. </w:t>
      </w:r>
    </w:p>
    <w:p w:rsidR="00AA4A6B" w:rsidRPr="00C8426A" w:rsidRDefault="00AA4A6B" w:rsidP="00AA4A6B">
      <w:pPr>
        <w:jc w:val="both"/>
      </w:pPr>
    </w:p>
    <w:p w:rsidR="00AA4A6B" w:rsidRPr="00D550CA" w:rsidRDefault="00AA4A6B" w:rsidP="00AA4A6B">
      <w:pPr>
        <w:jc w:val="both"/>
      </w:pPr>
      <w:proofErr w:type="gramStart"/>
      <w:r w:rsidRPr="00C8426A">
        <w:rPr>
          <w:b/>
        </w:rPr>
        <w:t>Supplementary Figure 3.</w:t>
      </w:r>
      <w:proofErr w:type="gramEnd"/>
      <w:r w:rsidRPr="00C8426A">
        <w:t xml:space="preserve"> (</w:t>
      </w:r>
      <w:r w:rsidRPr="00C8426A">
        <w:rPr>
          <w:b/>
        </w:rPr>
        <w:t>a</w:t>
      </w:r>
      <w:r w:rsidRPr="00C8426A">
        <w:t xml:space="preserve">) </w:t>
      </w:r>
      <w:r>
        <w:t>The treatment of OACs with 50 and 100 µM CBX for 15 min significantly reduced the levels of GJIC (n</w:t>
      </w:r>
      <w:r w:rsidRPr="00C8426A">
        <w:t>=</w:t>
      </w:r>
      <w:r>
        <w:t>5; mean±s.e.m</w:t>
      </w:r>
      <w:proofErr w:type="gramStart"/>
      <w:r>
        <w:t>.;</w:t>
      </w:r>
      <w:proofErr w:type="gramEnd"/>
      <w:r>
        <w:t xml:space="preserve"> **</w:t>
      </w:r>
      <w:r w:rsidRPr="00C8426A">
        <w:rPr>
          <w:i/>
        </w:rPr>
        <w:t>P</w:t>
      </w:r>
      <w:r>
        <w:t>&lt;0.01</w:t>
      </w:r>
      <w:r w:rsidRPr="00C8426A">
        <w:t>; Mann–Whitney test</w:t>
      </w:r>
      <w:r>
        <w:t>). (</w:t>
      </w:r>
      <w:r>
        <w:rPr>
          <w:b/>
        </w:rPr>
        <w:t>b</w:t>
      </w:r>
      <w:r>
        <w:t xml:space="preserve">) </w:t>
      </w:r>
      <w:r w:rsidRPr="00C8426A">
        <w:t>Flow cytometry analysis of CD105 and CD166 antigens detected in OAC</w:t>
      </w:r>
      <w:r>
        <w:t>s</w:t>
      </w:r>
      <w:r w:rsidRPr="00C8426A">
        <w:t xml:space="preserve"> treated with 100 µM CBX for 7 days. Quantification is shown in Fig. </w:t>
      </w:r>
      <w:r>
        <w:t>2c</w:t>
      </w:r>
      <w:r w:rsidRPr="00C8426A">
        <w:t>.</w:t>
      </w:r>
    </w:p>
    <w:p w:rsidR="00AA4A6B" w:rsidRPr="00C8426A" w:rsidRDefault="00AA4A6B" w:rsidP="00AA4A6B">
      <w:pPr>
        <w:jc w:val="both"/>
      </w:pPr>
    </w:p>
    <w:p w:rsidR="00AA4A6B" w:rsidRDefault="00AA4A6B" w:rsidP="00AA4A6B">
      <w:pPr>
        <w:jc w:val="both"/>
      </w:pPr>
      <w:proofErr w:type="gramStart"/>
      <w:r w:rsidRPr="00C8426A">
        <w:rPr>
          <w:b/>
        </w:rPr>
        <w:t>Supplementary Figure 4.</w:t>
      </w:r>
      <w:proofErr w:type="gramEnd"/>
      <w:r w:rsidRPr="00C8426A">
        <w:t xml:space="preserve"> (</w:t>
      </w:r>
      <w:r w:rsidRPr="00C8426A">
        <w:rPr>
          <w:b/>
        </w:rPr>
        <w:t>a</w:t>
      </w:r>
      <w:r w:rsidRPr="00C8426A">
        <w:t>) OACs were cultured in osteogenic</w:t>
      </w:r>
      <w:r>
        <w:t xml:space="preserve"> medium (OM) and supplemented with 5</w:t>
      </w:r>
      <w:r w:rsidRPr="00C8426A">
        <w:t>0 µM</w:t>
      </w:r>
      <w:r>
        <w:t xml:space="preserve"> CBX</w:t>
      </w:r>
      <w:r w:rsidRPr="00C8426A">
        <w:t xml:space="preserve"> </w:t>
      </w:r>
      <w:r>
        <w:t>for 21 days. The osteogenesis was evaluated by the alizarin red staining positivity (n=6, mean±s.e.m</w:t>
      </w:r>
      <w:proofErr w:type="gramStart"/>
      <w:r>
        <w:t>.;</w:t>
      </w:r>
      <w:proofErr w:type="gramEnd"/>
      <w:r>
        <w:t xml:space="preserve"> *</w:t>
      </w:r>
      <w:r w:rsidRPr="00C8426A">
        <w:rPr>
          <w:i/>
        </w:rPr>
        <w:t>P</w:t>
      </w:r>
      <w:r>
        <w:t>&lt;0.05; Mann–Whitney test).</w:t>
      </w:r>
    </w:p>
    <w:p w:rsidR="00AA4A6B" w:rsidRDefault="00AA4A6B" w:rsidP="00AA4A6B"/>
    <w:p w:rsidR="00AA4A6B" w:rsidRDefault="00AA4A6B" w:rsidP="00AA4A6B"/>
    <w:p w:rsidR="00AA4A6B" w:rsidRPr="000F6BAD" w:rsidRDefault="00AA4A6B" w:rsidP="00AA4A6B">
      <w:pPr>
        <w:jc w:val="both"/>
      </w:pPr>
      <w:proofErr w:type="gramStart"/>
      <w:r w:rsidRPr="00C8426A">
        <w:rPr>
          <w:b/>
        </w:rPr>
        <w:lastRenderedPageBreak/>
        <w:t xml:space="preserve">Supplementary Figure </w:t>
      </w:r>
      <w:r>
        <w:rPr>
          <w:b/>
        </w:rPr>
        <w:t>5.</w:t>
      </w:r>
      <w:proofErr w:type="gramEnd"/>
      <w:r>
        <w:rPr>
          <w:b/>
        </w:rPr>
        <w:t xml:space="preserve"> </w:t>
      </w:r>
      <w:r>
        <w:t>Detection of Cx43 levels by western blot in T/C-28a2 cells cultured in normal medium (UT, DMEM 10% FBS) and treated with 50 and 100 µM CBX for 48 hours (</w:t>
      </w:r>
      <w:r w:rsidRPr="00C8426A">
        <w:t>n=</w:t>
      </w:r>
      <w:r>
        <w:t>4; mean±s.e.m</w:t>
      </w:r>
      <w:proofErr w:type="gramStart"/>
      <w:r>
        <w:t>.;</w:t>
      </w:r>
      <w:proofErr w:type="gramEnd"/>
      <w:r>
        <w:t xml:space="preserve"> *</w:t>
      </w:r>
      <w:r w:rsidRPr="00C8426A">
        <w:rPr>
          <w:i/>
        </w:rPr>
        <w:t>P</w:t>
      </w:r>
      <w:r>
        <w:t>&lt;0.05, **</w:t>
      </w:r>
      <w:r w:rsidRPr="00C8426A">
        <w:rPr>
          <w:i/>
        </w:rPr>
        <w:t>P</w:t>
      </w:r>
      <w:r>
        <w:t>&lt;0.</w:t>
      </w:r>
      <w:r w:rsidRPr="00C8426A">
        <w:t xml:space="preserve">01; </w:t>
      </w:r>
      <w:r>
        <w:t>one-way ANOVA</w:t>
      </w:r>
      <w:r>
        <w:rPr>
          <w:rStyle w:val="CommentReference"/>
          <w:vanish/>
        </w:rPr>
        <w:pgNum/>
      </w:r>
      <w:r>
        <w:t>).</w:t>
      </w:r>
    </w:p>
    <w:p w:rsidR="00AA4A6B" w:rsidRDefault="00AA4A6B" w:rsidP="00AA4A6B">
      <w:pPr>
        <w:rPr>
          <w:b/>
        </w:rPr>
      </w:pPr>
    </w:p>
    <w:p w:rsidR="00AA4A6B" w:rsidRPr="00C8426A" w:rsidRDefault="00AA4A6B" w:rsidP="00AA4A6B">
      <w:pPr>
        <w:jc w:val="both"/>
      </w:pPr>
      <w:proofErr w:type="gramStart"/>
      <w:r w:rsidRPr="00C8426A">
        <w:rPr>
          <w:b/>
        </w:rPr>
        <w:t xml:space="preserve">Supplementary Figure </w:t>
      </w:r>
      <w:r>
        <w:rPr>
          <w:b/>
        </w:rPr>
        <w:t>6</w:t>
      </w:r>
      <w:r w:rsidRPr="00C8426A">
        <w:rPr>
          <w:b/>
        </w:rPr>
        <w:t>.</w:t>
      </w:r>
      <w:proofErr w:type="gramEnd"/>
      <w:r w:rsidRPr="00C8426A">
        <w:t xml:space="preserve"> (</w:t>
      </w:r>
      <w:r w:rsidRPr="00C8426A">
        <w:rPr>
          <w:b/>
        </w:rPr>
        <w:t>a</w:t>
      </w:r>
      <w:r w:rsidRPr="00C8426A">
        <w:t xml:space="preserve">) Gating strategy used in flow cytometry analysis. </w:t>
      </w:r>
      <w:proofErr w:type="gramStart"/>
      <w:r w:rsidRPr="00C8426A">
        <w:t>A single living population was selected by the forward scatter</w:t>
      </w:r>
      <w:proofErr w:type="gramEnd"/>
      <w:r w:rsidRPr="00C8426A">
        <w:t xml:space="preserve"> (FSC) and side scatter (SSC) properties of the cells. </w:t>
      </w:r>
      <w:proofErr w:type="gramStart"/>
      <w:r w:rsidRPr="00C8426A">
        <w:t>Cell aggregate discrimination was performed by comparing area versus high signal in FSC</w:t>
      </w:r>
      <w:proofErr w:type="gramEnd"/>
      <w:r w:rsidRPr="00C8426A">
        <w:t>. (</w:t>
      </w:r>
      <w:r w:rsidRPr="00C8426A">
        <w:rPr>
          <w:b/>
        </w:rPr>
        <w:t>b</w:t>
      </w:r>
      <w:r w:rsidRPr="00C8426A">
        <w:t xml:space="preserve">) The compensation matrix used for FITC-PE-APC analysis in a BD </w:t>
      </w:r>
      <w:proofErr w:type="spellStart"/>
      <w:r w:rsidRPr="00C8426A">
        <w:t>Accuri</w:t>
      </w:r>
      <w:proofErr w:type="spellEnd"/>
      <w:r w:rsidRPr="00C8426A">
        <w:t xml:space="preserve"> C6 (Becton Dickinson) flow cytometer.</w:t>
      </w:r>
    </w:p>
    <w:p w:rsidR="00AA4A6B" w:rsidRPr="00C8426A" w:rsidRDefault="00AA4A6B" w:rsidP="00AA4A6B">
      <w:pPr>
        <w:jc w:val="both"/>
      </w:pPr>
    </w:p>
    <w:p w:rsidR="00AA4A6B" w:rsidRPr="00C8426A" w:rsidRDefault="00AA4A6B" w:rsidP="00AA4A6B">
      <w:pPr>
        <w:jc w:val="both"/>
      </w:pPr>
      <w:proofErr w:type="gramStart"/>
      <w:r w:rsidRPr="00C8426A">
        <w:rPr>
          <w:b/>
        </w:rPr>
        <w:t>Supplementary Table 1</w:t>
      </w:r>
      <w:r w:rsidRPr="00C8426A">
        <w:t>.</w:t>
      </w:r>
      <w:proofErr w:type="gramEnd"/>
      <w:r w:rsidRPr="00C8426A">
        <w:t xml:space="preserve"> List of primer sequences (5'–3') used for RT-PCR analysis.</w:t>
      </w:r>
    </w:p>
    <w:p w:rsidR="00412404" w:rsidRDefault="00412404"/>
    <w:sectPr w:rsidR="00412404" w:rsidSect="00412404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6B"/>
    <w:rsid w:val="00412404"/>
    <w:rsid w:val="00AA4A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F26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A6B"/>
    <w:pPr>
      <w:spacing w:line="480" w:lineRule="auto"/>
    </w:pPr>
    <w:rPr>
      <w:rFonts w:ascii="Helvetica" w:hAnsi="Helvetica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AA4A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A6B"/>
    <w:pPr>
      <w:spacing w:line="480" w:lineRule="auto"/>
    </w:pPr>
    <w:rPr>
      <w:rFonts w:ascii="Helvetica" w:hAnsi="Helvetica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AA4A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1905</Characters>
  <Application>Microsoft Macintosh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Varela Eirín</dc:creator>
  <cp:keywords/>
  <dc:description/>
  <cp:lastModifiedBy>Marta Varela Eirín</cp:lastModifiedBy>
  <cp:revision>1</cp:revision>
  <dcterms:created xsi:type="dcterms:W3CDTF">2018-11-14T14:49:00Z</dcterms:created>
  <dcterms:modified xsi:type="dcterms:W3CDTF">2018-11-14T14:50:00Z</dcterms:modified>
</cp:coreProperties>
</file>