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410B5D" w14:textId="0A80F738" w:rsidR="00514D33" w:rsidRDefault="00514D33" w:rsidP="00514D33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14D33">
        <w:rPr>
          <w:rFonts w:ascii="Times New Roman" w:hAnsi="Times New Roman"/>
          <w:b/>
          <w:sz w:val="24"/>
          <w:szCs w:val="24"/>
        </w:rPr>
        <w:t xml:space="preserve">Supplementary </w:t>
      </w:r>
      <w:r w:rsidRPr="00514D33">
        <w:rPr>
          <w:rFonts w:ascii="Times New Roman" w:hAnsi="Times New Roman" w:hint="eastAsia"/>
          <w:b/>
          <w:sz w:val="24"/>
          <w:szCs w:val="24"/>
        </w:rPr>
        <w:t>F</w:t>
      </w:r>
      <w:r w:rsidRPr="00514D33">
        <w:rPr>
          <w:rFonts w:ascii="Times New Roman" w:hAnsi="Times New Roman"/>
          <w:b/>
          <w:sz w:val="24"/>
          <w:szCs w:val="24"/>
        </w:rPr>
        <w:t xml:space="preserve">igure </w:t>
      </w:r>
      <w:r w:rsidRPr="00514D33">
        <w:rPr>
          <w:rFonts w:ascii="Times New Roman" w:hAnsi="Times New Roman"/>
          <w:b/>
          <w:sz w:val="24"/>
          <w:szCs w:val="24"/>
        </w:rPr>
        <w:t>L</w:t>
      </w:r>
      <w:r w:rsidRPr="00514D33">
        <w:rPr>
          <w:rFonts w:ascii="Times New Roman" w:hAnsi="Times New Roman"/>
          <w:b/>
          <w:sz w:val="24"/>
          <w:szCs w:val="24"/>
        </w:rPr>
        <w:t>egends</w:t>
      </w:r>
    </w:p>
    <w:p w14:paraId="1098D692" w14:textId="77777777" w:rsidR="00142FE8" w:rsidRPr="00514D33" w:rsidRDefault="00142FE8" w:rsidP="00514D33">
      <w:pPr>
        <w:spacing w:line="360" w:lineRule="auto"/>
        <w:rPr>
          <w:rFonts w:ascii="Times New Roman" w:hAnsi="Times New Roman" w:hint="eastAsia"/>
          <w:b/>
          <w:sz w:val="24"/>
          <w:szCs w:val="24"/>
        </w:rPr>
      </w:pPr>
      <w:bookmarkStart w:id="0" w:name="_GoBack"/>
      <w:bookmarkEnd w:id="0"/>
    </w:p>
    <w:p w14:paraId="505DDD01" w14:textId="77777777" w:rsidR="00514D33" w:rsidRPr="0081274D" w:rsidRDefault="00514D33" w:rsidP="00514D33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Supplementary</w:t>
      </w:r>
      <w:r w:rsidRPr="00AB4617">
        <w:rPr>
          <w:rFonts w:ascii="Times New Roman" w:hAnsi="Times New Roman"/>
          <w:b/>
          <w:sz w:val="24"/>
          <w:szCs w:val="24"/>
        </w:rPr>
        <w:t xml:space="preserve"> Fig</w:t>
      </w:r>
      <w:r>
        <w:rPr>
          <w:rFonts w:ascii="Times New Roman" w:hAnsi="Times New Roman"/>
          <w:b/>
          <w:sz w:val="24"/>
          <w:szCs w:val="24"/>
        </w:rPr>
        <w:t>.</w:t>
      </w:r>
      <w:r w:rsidRPr="00AB4617">
        <w:rPr>
          <w:rFonts w:ascii="Times New Roman" w:hAnsi="Times New Roman"/>
          <w:b/>
          <w:sz w:val="24"/>
          <w:szCs w:val="24"/>
        </w:rPr>
        <w:t xml:space="preserve"> 1</w:t>
      </w:r>
      <w:r w:rsidRPr="0081274D">
        <w:rPr>
          <w:rFonts w:ascii="Times New Roman" w:hAnsi="Times New Roman"/>
          <w:sz w:val="24"/>
          <w:szCs w:val="24"/>
        </w:rPr>
        <w:t xml:space="preserve"> </w:t>
      </w:r>
      <w:r w:rsidRPr="004F6EB2">
        <w:rPr>
          <w:rFonts w:ascii="Times New Roman" w:hAnsi="Times New Roman"/>
          <w:b/>
          <w:sz w:val="24"/>
          <w:szCs w:val="24"/>
        </w:rPr>
        <w:t>ALDH1A3 plays an important role in ALDH enzyme activity in GSCs.</w:t>
      </w:r>
      <w:r w:rsidRPr="0081274D">
        <w:rPr>
          <w:rFonts w:ascii="Times New Roman" w:hAnsi="Times New Roman"/>
          <w:sz w:val="24"/>
          <w:szCs w:val="24"/>
        </w:rPr>
        <w:t xml:space="preserve"> (A) Expression of ALDH1A3 was significantly decreased by siRNA transfection. ****p&lt;0.0001. (B) ALDH1A3 inhibition leaded to dramatically decrease of ALDH activity in LN229 by </w:t>
      </w:r>
      <w:proofErr w:type="spellStart"/>
      <w:r w:rsidRPr="0081274D">
        <w:rPr>
          <w:rFonts w:ascii="Times New Roman" w:hAnsi="Times New Roman"/>
          <w:sz w:val="24"/>
          <w:szCs w:val="24"/>
        </w:rPr>
        <w:t>Aldefluor</w:t>
      </w:r>
      <w:proofErr w:type="spellEnd"/>
      <w:r w:rsidRPr="0081274D">
        <w:rPr>
          <w:rFonts w:ascii="Times New Roman" w:hAnsi="Times New Roman"/>
          <w:sz w:val="24"/>
          <w:szCs w:val="24"/>
        </w:rPr>
        <w:t xml:space="preserve"> assay.</w:t>
      </w:r>
    </w:p>
    <w:p w14:paraId="3BF450B2" w14:textId="77777777" w:rsidR="00514D33" w:rsidRPr="0081274D" w:rsidRDefault="00514D33" w:rsidP="00514D33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26C894A2" w14:textId="77777777" w:rsidR="00514D33" w:rsidRPr="0081274D" w:rsidRDefault="00514D33" w:rsidP="00514D33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Supplementary</w:t>
      </w:r>
      <w:r w:rsidRPr="00AB4617">
        <w:rPr>
          <w:rFonts w:ascii="Times New Roman" w:hAnsi="Times New Roman"/>
          <w:b/>
          <w:sz w:val="24"/>
          <w:szCs w:val="24"/>
        </w:rPr>
        <w:t xml:space="preserve"> Fig</w:t>
      </w:r>
      <w:r>
        <w:rPr>
          <w:rFonts w:ascii="Times New Roman" w:hAnsi="Times New Roman"/>
          <w:b/>
          <w:sz w:val="24"/>
          <w:szCs w:val="24"/>
        </w:rPr>
        <w:t>.</w:t>
      </w:r>
      <w:r w:rsidRPr="00AB4617">
        <w:rPr>
          <w:rFonts w:ascii="Times New Roman" w:hAnsi="Times New Roman"/>
          <w:b/>
          <w:sz w:val="24"/>
          <w:szCs w:val="24"/>
        </w:rPr>
        <w:t xml:space="preserve"> 2 </w:t>
      </w:r>
      <w:r w:rsidRPr="004F6EB2">
        <w:rPr>
          <w:rFonts w:ascii="Times New Roman" w:hAnsi="Times New Roman"/>
          <w:b/>
          <w:sz w:val="24"/>
          <w:szCs w:val="24"/>
        </w:rPr>
        <w:t>The relationship between ALDH1A3 and PMT markers in GBM samples.</w:t>
      </w:r>
      <w:r w:rsidRPr="0081274D">
        <w:rPr>
          <w:rFonts w:ascii="Times New Roman" w:hAnsi="Times New Roman"/>
          <w:sz w:val="24"/>
          <w:szCs w:val="24"/>
        </w:rPr>
        <w:t xml:space="preserve"> (A, B) ALDH1A3 was positively correlated with MES markers and negatively correlated with PN markers in GBM patients of CGGA and TCGA databases. *p&lt;0.05, **p&lt;0.01, ****p&lt;0.0001 analyzed by Pearson correlation analysis. ns means no statistical differences.</w:t>
      </w:r>
    </w:p>
    <w:p w14:paraId="77FAC7C4" w14:textId="77777777" w:rsidR="00514D33" w:rsidRPr="0081274D" w:rsidRDefault="00514D33" w:rsidP="00514D33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6ACE9DE4" w14:textId="77777777" w:rsidR="00514D33" w:rsidRPr="0081274D" w:rsidRDefault="00514D33" w:rsidP="00514D33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Supplementary</w:t>
      </w:r>
      <w:r w:rsidRPr="00AB4617">
        <w:rPr>
          <w:rFonts w:ascii="Times New Roman" w:hAnsi="Times New Roman"/>
          <w:b/>
          <w:sz w:val="24"/>
          <w:szCs w:val="24"/>
        </w:rPr>
        <w:t xml:space="preserve"> Fig</w:t>
      </w:r>
      <w:r>
        <w:rPr>
          <w:rFonts w:ascii="Times New Roman" w:hAnsi="Times New Roman"/>
          <w:b/>
          <w:sz w:val="24"/>
          <w:szCs w:val="24"/>
        </w:rPr>
        <w:t>.</w:t>
      </w:r>
      <w:r w:rsidRPr="00AB4617">
        <w:rPr>
          <w:rFonts w:ascii="Times New Roman" w:hAnsi="Times New Roman"/>
          <w:b/>
          <w:sz w:val="24"/>
          <w:szCs w:val="24"/>
        </w:rPr>
        <w:t xml:space="preserve"> 3</w:t>
      </w:r>
      <w:r w:rsidRPr="004F6EB2">
        <w:rPr>
          <w:rFonts w:ascii="Times New Roman" w:hAnsi="Times New Roman"/>
          <w:b/>
          <w:sz w:val="24"/>
          <w:szCs w:val="24"/>
        </w:rPr>
        <w:t xml:space="preserve"> QRT-PCR verification of infection efficiency of lentiviruses.</w:t>
      </w:r>
      <w:r w:rsidRPr="0081274D">
        <w:rPr>
          <w:rFonts w:ascii="Times New Roman" w:hAnsi="Times New Roman"/>
          <w:sz w:val="24"/>
          <w:szCs w:val="24"/>
        </w:rPr>
        <w:t xml:space="preserve"> (A, B) </w:t>
      </w:r>
      <w:proofErr w:type="spellStart"/>
      <w:r w:rsidRPr="0081274D">
        <w:rPr>
          <w:rFonts w:ascii="Times New Roman" w:hAnsi="Times New Roman"/>
          <w:sz w:val="24"/>
          <w:szCs w:val="24"/>
        </w:rPr>
        <w:t>qRT</w:t>
      </w:r>
      <w:proofErr w:type="spellEnd"/>
      <w:r w:rsidRPr="0081274D">
        <w:rPr>
          <w:rFonts w:ascii="Times New Roman" w:hAnsi="Times New Roman"/>
          <w:sz w:val="24"/>
          <w:szCs w:val="24"/>
        </w:rPr>
        <w:t>-PCR verified transfection efficiency of lentiviruses in GSCs every two weeks. *p&lt;0.05, ***p&lt;0.001, ****p&lt;0.0001 analyzed.</w:t>
      </w:r>
    </w:p>
    <w:p w14:paraId="138C1F0E" w14:textId="77777777" w:rsidR="00514D33" w:rsidRPr="0081274D" w:rsidRDefault="00514D33" w:rsidP="00514D33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01900CDE" w14:textId="77777777" w:rsidR="00514D33" w:rsidRPr="0081274D" w:rsidRDefault="00514D33" w:rsidP="00514D33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Supplementary</w:t>
      </w:r>
      <w:r w:rsidRPr="00AB4617">
        <w:rPr>
          <w:rFonts w:ascii="Times New Roman" w:hAnsi="Times New Roman"/>
          <w:b/>
          <w:sz w:val="24"/>
          <w:szCs w:val="24"/>
        </w:rPr>
        <w:t xml:space="preserve"> Fig</w:t>
      </w:r>
      <w:r>
        <w:rPr>
          <w:rFonts w:ascii="Times New Roman" w:hAnsi="Times New Roman"/>
          <w:b/>
          <w:sz w:val="24"/>
          <w:szCs w:val="24"/>
        </w:rPr>
        <w:t>.</w:t>
      </w:r>
      <w:r w:rsidRPr="00AB4617">
        <w:rPr>
          <w:rFonts w:ascii="Times New Roman" w:hAnsi="Times New Roman"/>
          <w:b/>
          <w:sz w:val="24"/>
          <w:szCs w:val="24"/>
        </w:rPr>
        <w:t xml:space="preserve"> 4 </w:t>
      </w:r>
      <w:r w:rsidRPr="004F6EB2">
        <w:rPr>
          <w:rFonts w:ascii="Times New Roman" w:hAnsi="Times New Roman"/>
          <w:b/>
          <w:sz w:val="24"/>
          <w:szCs w:val="24"/>
        </w:rPr>
        <w:t>ALDH1A3 overexpression increases malignant biological functions of U251 cell line.</w:t>
      </w:r>
      <w:r w:rsidRPr="0081274D">
        <w:rPr>
          <w:rFonts w:ascii="Times New Roman" w:hAnsi="Times New Roman"/>
          <w:sz w:val="24"/>
          <w:szCs w:val="24"/>
        </w:rPr>
        <w:t xml:space="preserve"> (A, B) </w:t>
      </w:r>
      <w:proofErr w:type="spellStart"/>
      <w:r w:rsidRPr="0081274D">
        <w:rPr>
          <w:rFonts w:ascii="Times New Roman" w:hAnsi="Times New Roman"/>
          <w:sz w:val="24"/>
          <w:szCs w:val="24"/>
        </w:rPr>
        <w:t>Transwell</w:t>
      </w:r>
      <w:proofErr w:type="spellEnd"/>
      <w:r w:rsidRPr="0081274D">
        <w:rPr>
          <w:rFonts w:ascii="Times New Roman" w:hAnsi="Times New Roman"/>
          <w:sz w:val="24"/>
          <w:szCs w:val="24"/>
        </w:rPr>
        <w:t xml:space="preserve"> assay showed that ALDH1A3 expression enhancement induced obviously increase of invasion ability in U251. ***p&lt;0.001. (C) Self-renewal ability of U251 was positively correlation with ALDH1A3 expression. **p&lt;0.01. (D, E) ALDH1A3 expression enhancement markedly promoted glycolysis, glycolytic capacity and glycolytic reserve of U251. *p&lt;0.05, **p&lt;0.01. </w:t>
      </w:r>
    </w:p>
    <w:p w14:paraId="0E4A5DA5" w14:textId="77777777" w:rsidR="00514D33" w:rsidRPr="0081274D" w:rsidRDefault="00514D33" w:rsidP="00514D33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55F730DF" w14:textId="77777777" w:rsidR="00514D33" w:rsidRPr="0081274D" w:rsidRDefault="00514D33" w:rsidP="00514D33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Supplementary</w:t>
      </w:r>
      <w:r w:rsidRPr="00AB4617">
        <w:rPr>
          <w:rFonts w:ascii="Times New Roman" w:hAnsi="Times New Roman"/>
          <w:b/>
          <w:sz w:val="24"/>
          <w:szCs w:val="24"/>
        </w:rPr>
        <w:t xml:space="preserve"> Fig</w:t>
      </w:r>
      <w:r>
        <w:rPr>
          <w:rFonts w:ascii="Times New Roman" w:hAnsi="Times New Roman"/>
          <w:b/>
          <w:sz w:val="24"/>
          <w:szCs w:val="24"/>
        </w:rPr>
        <w:t>.</w:t>
      </w:r>
      <w:r w:rsidRPr="00AB4617">
        <w:rPr>
          <w:rFonts w:ascii="Times New Roman" w:hAnsi="Times New Roman"/>
          <w:b/>
          <w:sz w:val="24"/>
          <w:szCs w:val="24"/>
        </w:rPr>
        <w:t xml:space="preserve"> 5 </w:t>
      </w:r>
      <w:r w:rsidRPr="004F6EB2">
        <w:rPr>
          <w:rFonts w:ascii="Times New Roman" w:hAnsi="Times New Roman"/>
          <w:b/>
          <w:sz w:val="24"/>
          <w:szCs w:val="24"/>
        </w:rPr>
        <w:t>The relationship between the molecular classification scheme and clinicopathological characteristics in GBM patients.</w:t>
      </w:r>
      <w:r w:rsidRPr="0081274D">
        <w:rPr>
          <w:rFonts w:ascii="Times New Roman" w:hAnsi="Times New Roman"/>
          <w:sz w:val="24"/>
          <w:szCs w:val="24"/>
        </w:rPr>
        <w:t xml:space="preserve"> Landscape of clinical features of GBM patients in different risk score groups in TCGA database.</w:t>
      </w:r>
    </w:p>
    <w:p w14:paraId="071ACD9E" w14:textId="77777777" w:rsidR="00514D33" w:rsidRPr="0081274D" w:rsidRDefault="00514D33" w:rsidP="00514D33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2A4EE617" w14:textId="77777777" w:rsidR="00514D33" w:rsidRPr="0081274D" w:rsidRDefault="00514D33" w:rsidP="00514D33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Supplementary</w:t>
      </w:r>
      <w:r w:rsidRPr="00AB4617">
        <w:rPr>
          <w:rFonts w:ascii="Times New Roman" w:hAnsi="Times New Roman"/>
          <w:b/>
          <w:sz w:val="24"/>
          <w:szCs w:val="24"/>
        </w:rPr>
        <w:t xml:space="preserve"> Fig</w:t>
      </w:r>
      <w:r>
        <w:rPr>
          <w:rFonts w:ascii="Times New Roman" w:hAnsi="Times New Roman"/>
          <w:b/>
          <w:sz w:val="24"/>
          <w:szCs w:val="24"/>
        </w:rPr>
        <w:t>.</w:t>
      </w:r>
      <w:r w:rsidRPr="00AB4617">
        <w:rPr>
          <w:rFonts w:ascii="Times New Roman" w:hAnsi="Times New Roman"/>
          <w:b/>
          <w:sz w:val="24"/>
          <w:szCs w:val="24"/>
        </w:rPr>
        <w:t xml:space="preserve"> 6</w:t>
      </w:r>
      <w:r w:rsidRPr="0081274D">
        <w:rPr>
          <w:rFonts w:ascii="Times New Roman" w:hAnsi="Times New Roman"/>
          <w:sz w:val="24"/>
          <w:szCs w:val="24"/>
        </w:rPr>
        <w:t xml:space="preserve"> </w:t>
      </w:r>
      <w:r w:rsidRPr="004F6EB2">
        <w:rPr>
          <w:rFonts w:ascii="Times New Roman" w:hAnsi="Times New Roman"/>
          <w:b/>
          <w:sz w:val="24"/>
          <w:szCs w:val="24"/>
        </w:rPr>
        <w:t>The molecular classification scheme is an independent prognosis factor of GBM patients.</w:t>
      </w:r>
      <w:r w:rsidRPr="0081274D">
        <w:rPr>
          <w:rFonts w:ascii="Times New Roman" w:hAnsi="Times New Roman"/>
          <w:sz w:val="24"/>
          <w:szCs w:val="24"/>
        </w:rPr>
        <w:t xml:space="preserve"> Univariate and multivariate COX analysis of risk </w:t>
      </w:r>
      <w:r w:rsidRPr="0081274D">
        <w:rPr>
          <w:rFonts w:ascii="Times New Roman" w:hAnsi="Times New Roman"/>
          <w:sz w:val="24"/>
          <w:szCs w:val="24"/>
        </w:rPr>
        <w:lastRenderedPageBreak/>
        <w:t>score and prognostic clinical factors in GBM patients in TCGA database.</w:t>
      </w:r>
    </w:p>
    <w:p w14:paraId="2FDDC2F8" w14:textId="77777777" w:rsidR="00514D33" w:rsidRPr="0081274D" w:rsidRDefault="00514D33" w:rsidP="00514D33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698D69ED" w14:textId="77777777" w:rsidR="00514D33" w:rsidRPr="0081274D" w:rsidRDefault="00514D33" w:rsidP="00514D33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Supplementary</w:t>
      </w:r>
      <w:r w:rsidRPr="00AB4617">
        <w:rPr>
          <w:rFonts w:ascii="Times New Roman" w:hAnsi="Times New Roman"/>
          <w:b/>
          <w:sz w:val="24"/>
          <w:szCs w:val="24"/>
        </w:rPr>
        <w:t xml:space="preserve"> Fig</w:t>
      </w:r>
      <w:r>
        <w:rPr>
          <w:rFonts w:ascii="Times New Roman" w:hAnsi="Times New Roman"/>
          <w:b/>
          <w:sz w:val="24"/>
          <w:szCs w:val="24"/>
        </w:rPr>
        <w:t>.</w:t>
      </w:r>
      <w:r w:rsidRPr="00AB4617">
        <w:rPr>
          <w:rFonts w:ascii="Times New Roman" w:hAnsi="Times New Roman"/>
          <w:b/>
          <w:sz w:val="24"/>
          <w:szCs w:val="24"/>
        </w:rPr>
        <w:t xml:space="preserve"> 7 </w:t>
      </w:r>
      <w:r w:rsidRPr="004F6EB2">
        <w:rPr>
          <w:rFonts w:ascii="Times New Roman" w:hAnsi="Times New Roman"/>
          <w:b/>
          <w:sz w:val="24"/>
          <w:szCs w:val="24"/>
        </w:rPr>
        <w:t>The molecular classification scheme predicts the survival rate of GBM patients.</w:t>
      </w:r>
      <w:r w:rsidRPr="0081274D">
        <w:rPr>
          <w:rFonts w:ascii="Times New Roman" w:hAnsi="Times New Roman"/>
          <w:sz w:val="24"/>
          <w:szCs w:val="24"/>
        </w:rPr>
        <w:t xml:space="preserve"> Nomograms of the molecular classification scheme and other prognostic clinical factors could predict the 1 year, 2 years and 3 years survival rate of GBM patients in CGGA and TCGA databases. </w:t>
      </w:r>
    </w:p>
    <w:p w14:paraId="283A2BA9" w14:textId="77777777" w:rsidR="00712A75" w:rsidRPr="00514D33" w:rsidRDefault="00712A75"/>
    <w:sectPr w:rsidR="00712A75" w:rsidRPr="00514D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5423A5" w14:textId="77777777" w:rsidR="005D5F31" w:rsidRDefault="005D5F31" w:rsidP="00514D33">
      <w:r>
        <w:separator/>
      </w:r>
    </w:p>
  </w:endnote>
  <w:endnote w:type="continuationSeparator" w:id="0">
    <w:p w14:paraId="7FBB8F30" w14:textId="77777777" w:rsidR="005D5F31" w:rsidRDefault="005D5F31" w:rsidP="00514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980CCA" w14:textId="77777777" w:rsidR="005D5F31" w:rsidRDefault="005D5F31" w:rsidP="00514D33">
      <w:r>
        <w:separator/>
      </w:r>
    </w:p>
  </w:footnote>
  <w:footnote w:type="continuationSeparator" w:id="0">
    <w:p w14:paraId="755DE4FC" w14:textId="77777777" w:rsidR="005D5F31" w:rsidRDefault="005D5F31" w:rsidP="00514D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F95A0785-3EAD-4861-8469-6F0D4CD5DB6D}"/>
    <w:docVar w:name="KY_MEDREF_VERSION" w:val="3"/>
  </w:docVars>
  <w:rsids>
    <w:rsidRoot w:val="00A839B9"/>
    <w:rsid w:val="00142FE8"/>
    <w:rsid w:val="0047780A"/>
    <w:rsid w:val="00514D33"/>
    <w:rsid w:val="005D5F31"/>
    <w:rsid w:val="00712A75"/>
    <w:rsid w:val="00A83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EB66E"/>
  <w15:chartTrackingRefBased/>
  <w15:docId w15:val="{4F7CF650-1599-46B2-AC62-AFA9005DC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4D33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4D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14D3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14D3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14D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313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lym</dc:creator>
  <cp:keywords/>
  <dc:description/>
  <cp:lastModifiedBy>lym</cp:lastModifiedBy>
  <cp:revision>3</cp:revision>
  <dcterms:created xsi:type="dcterms:W3CDTF">2018-11-20T08:40:00Z</dcterms:created>
  <dcterms:modified xsi:type="dcterms:W3CDTF">2018-11-20T08:41:00Z</dcterms:modified>
</cp:coreProperties>
</file>