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0C2" w:rsidRDefault="00ED00C2" w:rsidP="00ED00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Figure Legends</w:t>
      </w:r>
    </w:p>
    <w:p w:rsidR="00ED00C2" w:rsidRDefault="00ED00C2" w:rsidP="00ED00C2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Fig. 1</w:t>
      </w:r>
      <w:r w:rsidRPr="00C45F20">
        <w:rPr>
          <w:rFonts w:ascii="Times New Roman" w:hAnsi="Times New Roman" w:cs="Times New Roman"/>
          <w:b/>
          <w:sz w:val="24"/>
          <w:szCs w:val="24"/>
        </w:rPr>
        <w:t>.</w:t>
      </w:r>
      <w:r w:rsidRPr="00C45F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CA"/>
        </w:rPr>
        <w:t xml:space="preserve"> DA3/EPOR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CA"/>
        </w:rPr>
        <w:t xml:space="preserve"> cells undergo p53-dependent apoptosis after treatment with DNR</w:t>
      </w:r>
      <w:r w:rsidRPr="00C45F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CA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CA"/>
        </w:rPr>
        <w:t>(a</w:t>
      </w:r>
      <w:r w:rsidRPr="00D870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CA"/>
        </w:rPr>
        <w:t>)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DA3/EPOR cells were co-</w:t>
      </w:r>
      <w:proofErr w:type="spellStart"/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nucleofected</w:t>
      </w:r>
      <w:proofErr w:type="spellEnd"/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with pCMV/p53DD and pSUPER-puromycin vectors or a PCDNA3 control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.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19 clones were selected after puromycin selection over four weeks. Clones 16, 18, and 19 displayed the strongest expression of p53DD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as determined by Western blot analysis using PAb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421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monoclonal 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antibody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that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recognizes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a C-terminal domain on p53. </w:t>
      </w:r>
      <w:proofErr w:type="gramStart"/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β-actin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protein levels w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ere used as a loading control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CA"/>
        </w:rPr>
        <w:t>(b</w:t>
      </w:r>
      <w:r w:rsidRPr="00D870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CA"/>
        </w:rPr>
        <w:t>)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DA3/EPOR/p53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DD clones 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and DA3/EPOR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parental 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cells were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cultured in the absence of 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EPO for 1 h followed by 16 h of treatment with DNR (0.25 µM)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in the presence or absence 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EPO (1 U/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ml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).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Treated cells were fixed with 75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% ethanol and then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stained with propidium iodide. The proportion of a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poptotic cells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(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with </w:t>
      </w:r>
      <w:r w:rsidRPr="00C45F20">
        <w:rPr>
          <w:rFonts w:ascii="Times New Roman" w:eastAsia="Times New Roman" w:hAnsi="Times New Roman" w:cs="Times New Roman"/>
          <w:sz w:val="24"/>
          <w:szCs w:val="24"/>
          <w:lang w:eastAsia="en-CA"/>
        </w:rPr>
        <w:t>&lt; 2 N DNA content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)</w:t>
      </w:r>
      <w:r w:rsidRPr="00C45F20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as determined by 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flow cytometry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after propidium staining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. Error bars represent SEM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; 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p-values were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determined by</w:t>
      </w:r>
      <w:r w:rsidRPr="00C45F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one-way ANOVA followed by Tukey’s HSD post hoc test (N=3 biological replicates). </w:t>
      </w:r>
    </w:p>
    <w:p w:rsidR="00FB15E4" w:rsidRPr="00ED00C2" w:rsidRDefault="00ED00C2" w:rsidP="00ED00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Fig. 2</w:t>
      </w:r>
      <w:r w:rsidRPr="00DB133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CA"/>
        </w:rPr>
        <w:t xml:space="preserve"> EPO does not suppress DNR-induced apoptosis in mutant p53-expressing OCI-M1 cells despite EPOR activation. (a</w:t>
      </w:r>
      <w:r w:rsidRPr="00D870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CA"/>
        </w:rPr>
        <w:t>)</w:t>
      </w:r>
      <w:r w:rsidRPr="007748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Western blot showing J</w:t>
      </w:r>
      <w:r w:rsidRPr="007748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AK2 activation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in OCI-M1 cells following </w:t>
      </w:r>
      <w:r w:rsidRPr="00717BD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EPO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/>
        </w:rPr>
        <w:t>treatment. OCI-M1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cells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were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cultured in the absence of EPO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and 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then stimulated with EPO (1 U/ml) for the times indicated.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JAK2 activation was measured 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using a phospho-specific Tyr 1007/Tyr 1008 antibody (pJAK2).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CA"/>
        </w:rPr>
        <w:t>(b</w:t>
      </w:r>
      <w:r w:rsidRPr="00D870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CA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Western blot showing p53 expression in OCI-M1 cells treated with DNR (0.25 µM) with or without EPO (1 U/ml) for 6 h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p53 protein was detected with the p53 monoclonal antibody DO-1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(c</w:t>
      </w:r>
      <w:r w:rsidRPr="00D8708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)</w:t>
      </w:r>
      <w:r w:rsidRPr="007748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OCI-M1 c</w:t>
      </w:r>
      <w:r w:rsidRPr="007748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ells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were treated with DNR (0.25 µM)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in the presence or absence of 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EPO (1 U/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ml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for 24 h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The proportion of apoptotic cells (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cells with </w:t>
      </w:r>
      <w:r w:rsidRPr="00DB1332">
        <w:rPr>
          <w:rFonts w:ascii="Times New Roman" w:eastAsia="Times New Roman" w:hAnsi="Times New Roman" w:cs="Times New Roman"/>
          <w:sz w:val="24"/>
          <w:szCs w:val="24"/>
          <w:lang w:eastAsia="en-CA"/>
        </w:rPr>
        <w:t>&lt; 2 N DNA content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)</w:t>
      </w:r>
      <w:r w:rsidRPr="00DB133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>was determined by flow cytometry after propidium iodide staining.</w:t>
      </w:r>
      <w:r w:rsidRPr="00DB13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CA"/>
        </w:rPr>
        <w:t xml:space="preserve"> Error bars represent SEM (N=3 biological replicates).</w:t>
      </w:r>
    </w:p>
    <w:sectPr w:rsidR="00FB15E4" w:rsidRPr="00ED00C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D32" w:rsidRDefault="005A6D32" w:rsidP="00ED00C2">
      <w:pPr>
        <w:spacing w:after="0" w:line="240" w:lineRule="auto"/>
      </w:pPr>
      <w:r>
        <w:separator/>
      </w:r>
    </w:p>
  </w:endnote>
  <w:endnote w:type="continuationSeparator" w:id="0">
    <w:p w:rsidR="005A6D32" w:rsidRDefault="005A6D32" w:rsidP="00ED0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D32" w:rsidRDefault="005A6D32" w:rsidP="00ED00C2">
      <w:pPr>
        <w:spacing w:after="0" w:line="240" w:lineRule="auto"/>
      </w:pPr>
      <w:r>
        <w:separator/>
      </w:r>
    </w:p>
  </w:footnote>
  <w:footnote w:type="continuationSeparator" w:id="0">
    <w:p w:rsidR="005A6D32" w:rsidRDefault="005A6D32" w:rsidP="00ED0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0C2" w:rsidRDefault="00ED00C2">
    <w:pPr>
      <w:pStyle w:val="Header"/>
    </w:pPr>
    <w:r>
      <w:t>CDDIS-18-3070R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0C2"/>
    <w:rsid w:val="005158C6"/>
    <w:rsid w:val="005A22CC"/>
    <w:rsid w:val="005A6D32"/>
    <w:rsid w:val="0068201F"/>
    <w:rsid w:val="00734CB3"/>
    <w:rsid w:val="00796F58"/>
    <w:rsid w:val="00C56532"/>
    <w:rsid w:val="00CE7DB2"/>
    <w:rsid w:val="00D76E51"/>
    <w:rsid w:val="00ED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CF68B"/>
  <w15:chartTrackingRefBased/>
  <w15:docId w15:val="{C79557A3-48FF-4F0F-922C-010CF2BFB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0C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0C2"/>
  </w:style>
  <w:style w:type="paragraph" w:styleId="Footer">
    <w:name w:val="footer"/>
    <w:basedOn w:val="Normal"/>
    <w:link w:val="FooterChar"/>
    <w:uiPriority w:val="99"/>
    <w:unhideWhenUsed/>
    <w:rsid w:val="00ED0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University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Benchimol</dc:creator>
  <cp:keywords/>
  <dc:description/>
  <cp:lastModifiedBy>Samuel Benchimol</cp:lastModifiedBy>
  <cp:revision>1</cp:revision>
  <dcterms:created xsi:type="dcterms:W3CDTF">2018-12-07T19:58:00Z</dcterms:created>
  <dcterms:modified xsi:type="dcterms:W3CDTF">2018-12-07T20:00:00Z</dcterms:modified>
</cp:coreProperties>
</file>