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500C" w:rsidRPr="004816B8" w:rsidRDefault="003E500C" w:rsidP="003E500C">
      <w:pPr>
        <w:spacing w:after="200" w:line="360" w:lineRule="auto"/>
        <w:jc w:val="both"/>
        <w:rPr>
          <w:rFonts w:ascii="Times New Roman" w:hAnsi="Times New Roman"/>
          <w:color w:val="000000" w:themeColor="text1"/>
          <w:lang w:val="en-GB"/>
        </w:rPr>
      </w:pPr>
      <w:r w:rsidRPr="004816B8">
        <w:rPr>
          <w:rFonts w:ascii="Times New Roman" w:hAnsi="Times New Roman"/>
          <w:color w:val="000000" w:themeColor="text1"/>
          <w:lang w:val="en-GB"/>
        </w:rPr>
        <w:t>Supplementary material</w:t>
      </w:r>
    </w:p>
    <w:p w:rsidR="003E500C" w:rsidRPr="004816B8" w:rsidRDefault="003E500C" w:rsidP="003E500C">
      <w:pPr>
        <w:spacing w:after="200" w:line="360" w:lineRule="auto"/>
        <w:jc w:val="both"/>
        <w:rPr>
          <w:rFonts w:ascii="Times New Roman" w:hAnsi="Times New Roman"/>
          <w:color w:val="000000" w:themeColor="text1"/>
          <w:lang w:val="en-GB"/>
        </w:rPr>
      </w:pPr>
    </w:p>
    <w:p w:rsidR="003E500C" w:rsidRPr="004816B8" w:rsidRDefault="003E500C" w:rsidP="003E500C">
      <w:pPr>
        <w:pStyle w:val="MDPI22heading2"/>
        <w:spacing w:line="480" w:lineRule="auto"/>
        <w:jc w:val="both"/>
        <w:rPr>
          <w:rFonts w:ascii="Times New Roman" w:eastAsiaTheme="minorHAnsi" w:hAnsi="Times New Roman"/>
          <w:b/>
          <w:i w:val="0"/>
          <w:noProof w:val="0"/>
          <w:snapToGrid/>
          <w:color w:val="000000" w:themeColor="text1"/>
          <w:sz w:val="24"/>
          <w:szCs w:val="21"/>
          <w:lang w:val="en-GB" w:eastAsia="fr-FR" w:bidi="ar-SA"/>
        </w:rPr>
      </w:pPr>
      <w:r w:rsidRPr="004816B8">
        <w:rPr>
          <w:rFonts w:ascii="Times New Roman" w:eastAsiaTheme="minorHAnsi" w:hAnsi="Times New Roman"/>
          <w:b/>
          <w:i w:val="0"/>
          <w:noProof w:val="0"/>
          <w:snapToGrid/>
          <w:color w:val="000000" w:themeColor="text1"/>
          <w:sz w:val="24"/>
          <w:szCs w:val="21"/>
          <w:lang w:val="en-GB" w:eastAsia="fr-FR" w:bidi="ar-SA"/>
        </w:rPr>
        <w:t>Supplementary materials and methods</w:t>
      </w:r>
    </w:p>
    <w:p w:rsidR="003E500C" w:rsidRPr="004816B8" w:rsidRDefault="003E500C" w:rsidP="003E500C">
      <w:pPr>
        <w:pStyle w:val="MDPI22heading2"/>
        <w:spacing w:line="480" w:lineRule="auto"/>
        <w:jc w:val="both"/>
        <w:rPr>
          <w:rFonts w:ascii="Times New Roman" w:eastAsiaTheme="minorHAnsi" w:hAnsi="Times New Roman"/>
          <w:i w:val="0"/>
          <w:noProof w:val="0"/>
          <w:snapToGrid/>
          <w:color w:val="000000" w:themeColor="text1"/>
          <w:sz w:val="24"/>
          <w:szCs w:val="21"/>
          <w:lang w:val="en-GB" w:eastAsia="fr-FR" w:bidi="ar-SA"/>
        </w:rPr>
      </w:pPr>
      <w:r w:rsidRPr="004816B8">
        <w:rPr>
          <w:rFonts w:ascii="Times New Roman" w:hAnsi="Times New Roman"/>
          <w:i w:val="0"/>
          <w:color w:val="000000" w:themeColor="text1"/>
          <w:sz w:val="24"/>
          <w:szCs w:val="24"/>
          <w:lang w:val="en-GB"/>
        </w:rPr>
        <w:t xml:space="preserve">For cross-linking assays, rabbit anti-mouse and mouse anti-human secondary antibodies from Jackson ImmunoResearch (Interchim, Montluçon, France) were used. </w:t>
      </w:r>
      <w:r w:rsidRPr="004816B8">
        <w:rPr>
          <w:rFonts w:ascii="Times New Roman" w:eastAsiaTheme="minorHAnsi" w:hAnsi="Times New Roman"/>
          <w:i w:val="0"/>
          <w:noProof w:val="0"/>
          <w:snapToGrid/>
          <w:color w:val="000000" w:themeColor="text1"/>
          <w:sz w:val="24"/>
          <w:szCs w:val="21"/>
          <w:lang w:val="en-GB" w:eastAsia="fr-FR" w:bidi="ar-SA"/>
        </w:rPr>
        <w:t>The inhibitory effect of C#5 was screened on MDA-MB-231-DKO-DR4</w:t>
      </w:r>
      <w:r w:rsidRPr="004816B8">
        <w:rPr>
          <w:rFonts w:ascii="Times New Roman" w:eastAsiaTheme="minorHAnsi" w:hAnsi="Times New Roman"/>
          <w:i w:val="0"/>
          <w:noProof w:val="0"/>
          <w:snapToGrid/>
          <w:color w:val="000000" w:themeColor="text1"/>
          <w:sz w:val="24"/>
          <w:szCs w:val="21"/>
          <w:vertAlign w:val="superscript"/>
          <w:lang w:val="en-GB" w:eastAsia="fr-FR" w:bidi="ar-SA"/>
        </w:rPr>
        <w:t>rec</w:t>
      </w:r>
      <w:r w:rsidRPr="004816B8">
        <w:rPr>
          <w:rFonts w:ascii="Times New Roman" w:eastAsiaTheme="minorHAnsi" w:hAnsi="Times New Roman"/>
          <w:i w:val="0"/>
          <w:noProof w:val="0"/>
          <w:snapToGrid/>
          <w:color w:val="000000" w:themeColor="text1"/>
          <w:sz w:val="24"/>
          <w:szCs w:val="21"/>
          <w:lang w:val="en-GB" w:eastAsia="fr-FR" w:bidi="ar-SA"/>
        </w:rPr>
        <w:t xml:space="preserve"> cells. Cells were plated at 5x10</w:t>
      </w:r>
      <w:r w:rsidRPr="004816B8">
        <w:rPr>
          <w:rFonts w:ascii="Times New Roman" w:eastAsiaTheme="minorHAnsi" w:hAnsi="Times New Roman"/>
          <w:i w:val="0"/>
          <w:noProof w:val="0"/>
          <w:snapToGrid/>
          <w:color w:val="000000" w:themeColor="text1"/>
          <w:sz w:val="24"/>
          <w:szCs w:val="21"/>
          <w:vertAlign w:val="superscript"/>
          <w:lang w:val="en-GB" w:eastAsia="fr-FR" w:bidi="ar-SA"/>
        </w:rPr>
        <w:t>5</w:t>
      </w:r>
      <w:r w:rsidRPr="004816B8">
        <w:rPr>
          <w:rFonts w:ascii="Times New Roman" w:eastAsiaTheme="minorHAnsi" w:hAnsi="Times New Roman"/>
          <w:i w:val="0"/>
          <w:noProof w:val="0"/>
          <w:snapToGrid/>
          <w:color w:val="000000" w:themeColor="text1"/>
          <w:sz w:val="24"/>
          <w:szCs w:val="21"/>
          <w:lang w:val="en-GB" w:eastAsia="fr-FR" w:bidi="ar-SA"/>
        </w:rPr>
        <w:t xml:space="preserve"> cells/mL in 24-well plate and incubated with C#5 at 10 µg/mL alone or combined to 1 µg/mL His-TRAIL for 20 h. Supernatants and cells were collected and apoptosis was quantified by allophycocyanin Annexin V / 7-AAD staining, according to the manufacturer’s instructions (BD Biosciences), and analysed by flow cytometry (FACS LSRII). Cross-linking experiments were performed on BL2 cells. Cells were plated at 2x10</w:t>
      </w:r>
      <w:r w:rsidRPr="004816B8">
        <w:rPr>
          <w:rFonts w:ascii="Times New Roman" w:eastAsiaTheme="minorHAnsi" w:hAnsi="Times New Roman"/>
          <w:i w:val="0"/>
          <w:noProof w:val="0"/>
          <w:snapToGrid/>
          <w:color w:val="000000" w:themeColor="text1"/>
          <w:sz w:val="24"/>
          <w:szCs w:val="21"/>
          <w:vertAlign w:val="superscript"/>
          <w:lang w:val="en-GB" w:eastAsia="fr-FR" w:bidi="ar-SA"/>
        </w:rPr>
        <w:t>5</w:t>
      </w:r>
      <w:r w:rsidRPr="004816B8">
        <w:rPr>
          <w:rFonts w:ascii="Times New Roman" w:eastAsiaTheme="minorHAnsi" w:hAnsi="Times New Roman"/>
          <w:i w:val="0"/>
          <w:noProof w:val="0"/>
          <w:snapToGrid/>
          <w:color w:val="000000" w:themeColor="text1"/>
          <w:sz w:val="24"/>
          <w:szCs w:val="21"/>
          <w:lang w:val="en-GB" w:eastAsia="fr-FR" w:bidi="ar-SA"/>
        </w:rPr>
        <w:t xml:space="preserve"> cells/mL in 24-well plate and incubated with </w:t>
      </w:r>
      <w:proofErr w:type="spellStart"/>
      <w:r w:rsidRPr="004816B8">
        <w:rPr>
          <w:rFonts w:ascii="Times New Roman" w:eastAsiaTheme="minorHAnsi" w:hAnsi="Times New Roman"/>
          <w:i w:val="0"/>
          <w:noProof w:val="0"/>
          <w:snapToGrid/>
          <w:color w:val="000000" w:themeColor="text1"/>
          <w:sz w:val="24"/>
          <w:szCs w:val="21"/>
          <w:lang w:val="en-GB" w:eastAsia="fr-FR" w:bidi="ar-SA"/>
        </w:rPr>
        <w:t>mAbs</w:t>
      </w:r>
      <w:proofErr w:type="spellEnd"/>
      <w:r w:rsidRPr="004816B8">
        <w:rPr>
          <w:rFonts w:ascii="Times New Roman" w:eastAsiaTheme="minorHAnsi" w:hAnsi="Times New Roman"/>
          <w:i w:val="0"/>
          <w:noProof w:val="0"/>
          <w:snapToGrid/>
          <w:color w:val="000000" w:themeColor="text1"/>
          <w:sz w:val="24"/>
          <w:szCs w:val="21"/>
          <w:lang w:val="en-GB" w:eastAsia="fr-FR" w:bidi="ar-SA"/>
        </w:rPr>
        <w:t xml:space="preserve"> at 5 µg/mL in the presence or absence of 5 µg/mL anti-mouse or anti-human cross-linking antibody for 20 h. Supernatants and cells were collected and apoptosis was quantified as described above.</w:t>
      </w:r>
    </w:p>
    <w:p w:rsidR="003E500C" w:rsidRPr="004816B8" w:rsidRDefault="003E500C" w:rsidP="003E500C">
      <w:pPr>
        <w:pStyle w:val="MDPI22heading2"/>
        <w:spacing w:line="480" w:lineRule="auto"/>
        <w:jc w:val="both"/>
        <w:rPr>
          <w:rFonts w:ascii="Times New Roman" w:eastAsiaTheme="minorHAnsi" w:hAnsi="Times New Roman"/>
          <w:i w:val="0"/>
          <w:noProof w:val="0"/>
          <w:snapToGrid/>
          <w:color w:val="000000" w:themeColor="text1"/>
          <w:sz w:val="24"/>
          <w:szCs w:val="21"/>
          <w:lang w:val="en-GB" w:eastAsia="fr-FR" w:bidi="ar-SA"/>
        </w:rPr>
      </w:pPr>
    </w:p>
    <w:p w:rsidR="003E500C" w:rsidRPr="004816B8" w:rsidRDefault="003E500C" w:rsidP="003E500C">
      <w:pPr>
        <w:spacing w:after="200" w:line="360" w:lineRule="auto"/>
        <w:jc w:val="both"/>
        <w:rPr>
          <w:rFonts w:ascii="Times New Roman" w:hAnsi="Times New Roman"/>
          <w:color w:val="000000" w:themeColor="text1"/>
          <w:lang w:val="en-GB"/>
        </w:rPr>
      </w:pPr>
    </w:p>
    <w:p w:rsidR="003E500C" w:rsidRPr="004816B8" w:rsidRDefault="003E500C" w:rsidP="003E500C">
      <w:pPr>
        <w:spacing w:after="200" w:line="360" w:lineRule="auto"/>
        <w:jc w:val="both"/>
        <w:rPr>
          <w:rFonts w:ascii="Times New Roman" w:hAnsi="Times New Roman"/>
          <w:color w:val="000000" w:themeColor="text1"/>
          <w:lang w:val="en-GB"/>
        </w:rPr>
      </w:pPr>
      <w:r w:rsidRPr="004816B8">
        <w:rPr>
          <w:rFonts w:ascii="Times New Roman" w:hAnsi="Times New Roman"/>
          <w:b/>
          <w:color w:val="000000" w:themeColor="text1"/>
          <w:lang w:val="en-GB"/>
        </w:rPr>
        <w:t>Supplementary Figure 1:</w:t>
      </w:r>
      <w:r w:rsidRPr="004816B8">
        <w:rPr>
          <w:rFonts w:ascii="Times New Roman" w:hAnsi="Times New Roman"/>
          <w:color w:val="000000" w:themeColor="text1"/>
          <w:lang w:val="en-GB"/>
        </w:rPr>
        <w:t xml:space="preserve"> </w:t>
      </w:r>
      <w:r w:rsidRPr="004816B8">
        <w:rPr>
          <w:rFonts w:ascii="Times New Roman" w:hAnsi="Times New Roman"/>
          <w:b/>
          <w:color w:val="000000" w:themeColor="text1"/>
          <w:lang w:val="en-GB"/>
        </w:rPr>
        <w:t>Screening of hybridoma supernatants and monoclonal antibodies (</w:t>
      </w:r>
      <w:r w:rsidR="00A940BA">
        <w:rPr>
          <w:rFonts w:ascii="Times New Roman" w:hAnsi="Times New Roman"/>
          <w:b/>
          <w:color w:val="000000" w:themeColor="text1"/>
          <w:lang w:val="en-GB"/>
        </w:rPr>
        <w:t>a</w:t>
      </w:r>
      <w:r w:rsidRPr="004816B8">
        <w:rPr>
          <w:rFonts w:ascii="Times New Roman" w:hAnsi="Times New Roman"/>
          <w:b/>
          <w:color w:val="000000" w:themeColor="text1"/>
          <w:lang w:val="en-GB"/>
        </w:rPr>
        <w:t>)</w:t>
      </w:r>
      <w:r w:rsidRPr="004816B8">
        <w:rPr>
          <w:rFonts w:ascii="Times New Roman" w:hAnsi="Times New Roman"/>
          <w:color w:val="000000" w:themeColor="text1"/>
          <w:lang w:val="en-GB"/>
        </w:rPr>
        <w:t xml:space="preserve"> Hybridoma supernatants were diluted by half and tested on recombinant cleaved soluble receptors, DR4 (cDR4) or DR5 (cDR5), Fc or BSA. </w:t>
      </w:r>
      <w:r w:rsidRPr="004816B8">
        <w:rPr>
          <w:rFonts w:ascii="Times New Roman" w:hAnsi="Times New Roman"/>
          <w:b/>
          <w:color w:val="000000" w:themeColor="text1"/>
          <w:lang w:val="en-GB"/>
        </w:rPr>
        <w:t>(</w:t>
      </w:r>
      <w:r w:rsidR="00A940BA">
        <w:rPr>
          <w:rFonts w:ascii="Times New Roman" w:hAnsi="Times New Roman"/>
          <w:b/>
          <w:color w:val="000000" w:themeColor="text1"/>
          <w:lang w:val="en-GB"/>
        </w:rPr>
        <w:t>b</w:t>
      </w:r>
      <w:r w:rsidRPr="004816B8">
        <w:rPr>
          <w:rFonts w:ascii="Times New Roman" w:hAnsi="Times New Roman"/>
          <w:b/>
          <w:color w:val="000000" w:themeColor="text1"/>
          <w:lang w:val="en-GB"/>
        </w:rPr>
        <w:t>-</w:t>
      </w:r>
      <w:r w:rsidR="00A940BA">
        <w:rPr>
          <w:rFonts w:ascii="Times New Roman" w:hAnsi="Times New Roman"/>
          <w:b/>
          <w:color w:val="000000" w:themeColor="text1"/>
          <w:lang w:val="en-GB"/>
        </w:rPr>
        <w:t>c</w:t>
      </w:r>
      <w:r w:rsidRPr="004816B8">
        <w:rPr>
          <w:rFonts w:ascii="Times New Roman" w:hAnsi="Times New Roman"/>
          <w:b/>
          <w:color w:val="000000" w:themeColor="text1"/>
          <w:lang w:val="en-GB"/>
        </w:rPr>
        <w:t xml:space="preserve">) </w:t>
      </w:r>
      <w:r w:rsidRPr="004816B8">
        <w:rPr>
          <w:rFonts w:ascii="Times New Roman" w:hAnsi="Times New Roman"/>
          <w:color w:val="000000" w:themeColor="text1"/>
          <w:lang w:val="en-GB"/>
        </w:rPr>
        <w:t xml:space="preserve">Supernatants of selected anti-DR4 or DR5 hybridomas were screened by flow cytometry on parental HCT116 cells </w:t>
      </w:r>
      <w:r w:rsidRPr="004816B8">
        <w:rPr>
          <w:rFonts w:ascii="Times New Roman" w:hAnsi="Times New Roman"/>
          <w:b/>
          <w:color w:val="000000" w:themeColor="text1"/>
          <w:lang w:val="en-GB"/>
        </w:rPr>
        <w:t>(</w:t>
      </w:r>
      <w:r w:rsidR="00A940BA">
        <w:rPr>
          <w:rFonts w:ascii="Times New Roman" w:hAnsi="Times New Roman"/>
          <w:b/>
          <w:color w:val="000000" w:themeColor="text1"/>
          <w:lang w:val="en-GB"/>
        </w:rPr>
        <w:t>b</w:t>
      </w:r>
      <w:r w:rsidRPr="004816B8">
        <w:rPr>
          <w:rFonts w:ascii="Times New Roman" w:hAnsi="Times New Roman"/>
          <w:b/>
          <w:color w:val="000000" w:themeColor="text1"/>
          <w:lang w:val="en-GB"/>
        </w:rPr>
        <w:t>)</w:t>
      </w:r>
      <w:r w:rsidRPr="004816B8">
        <w:rPr>
          <w:rFonts w:ascii="Times New Roman" w:hAnsi="Times New Roman"/>
          <w:color w:val="000000" w:themeColor="text1"/>
          <w:lang w:val="en-GB"/>
        </w:rPr>
        <w:t xml:space="preserve"> or MBA-MB-231 cells deficient for both DR4 and DR5 (DKO) and MBA-MB-23-DKO reconstituted for DR5 </w:t>
      </w:r>
      <w:r w:rsidRPr="004816B8">
        <w:rPr>
          <w:rFonts w:ascii="Times New Roman" w:hAnsi="Times New Roman"/>
          <w:b/>
          <w:color w:val="000000" w:themeColor="text1"/>
          <w:lang w:val="en-GB"/>
        </w:rPr>
        <w:t>(</w:t>
      </w:r>
      <w:r w:rsidR="00A940BA">
        <w:rPr>
          <w:rFonts w:ascii="Times New Roman" w:hAnsi="Times New Roman"/>
          <w:b/>
          <w:color w:val="000000" w:themeColor="text1"/>
          <w:lang w:val="en-GB"/>
        </w:rPr>
        <w:t>c</w:t>
      </w:r>
      <w:r w:rsidRPr="004816B8">
        <w:rPr>
          <w:rFonts w:ascii="Times New Roman" w:hAnsi="Times New Roman"/>
          <w:b/>
          <w:color w:val="000000" w:themeColor="text1"/>
          <w:lang w:val="en-GB"/>
        </w:rPr>
        <w:t>)</w:t>
      </w:r>
      <w:r w:rsidRPr="004816B8">
        <w:rPr>
          <w:rFonts w:ascii="Times New Roman" w:hAnsi="Times New Roman"/>
          <w:color w:val="000000" w:themeColor="text1"/>
          <w:lang w:val="en-GB"/>
        </w:rPr>
        <w:t xml:space="preserve">, respectively. Specific </w:t>
      </w:r>
      <w:proofErr w:type="spellStart"/>
      <w:r w:rsidRPr="004816B8">
        <w:rPr>
          <w:rFonts w:ascii="Times New Roman" w:hAnsi="Times New Roman"/>
          <w:color w:val="000000" w:themeColor="text1"/>
          <w:lang w:val="en-GB"/>
        </w:rPr>
        <w:t>mAbs</w:t>
      </w:r>
      <w:proofErr w:type="spellEnd"/>
      <w:r w:rsidRPr="004816B8">
        <w:rPr>
          <w:rFonts w:ascii="Times New Roman" w:hAnsi="Times New Roman"/>
          <w:color w:val="000000" w:themeColor="text1"/>
          <w:lang w:val="en-GB"/>
        </w:rPr>
        <w:t xml:space="preserve"> staining (light red curves) were compared to two commercially available antibodies detecting DR4 or DR5 (red and blue curves, respectively) and to a non-relevant control IgG1 isotype antibody (grey curve). </w:t>
      </w:r>
    </w:p>
    <w:p w:rsidR="003E500C" w:rsidRPr="004816B8" w:rsidRDefault="003E500C" w:rsidP="003E500C">
      <w:pPr>
        <w:spacing w:after="200" w:line="360" w:lineRule="auto"/>
        <w:jc w:val="both"/>
        <w:rPr>
          <w:rFonts w:ascii="Times New Roman" w:hAnsi="Times New Roman"/>
          <w:color w:val="000000" w:themeColor="text1"/>
          <w:lang w:val="en-GB"/>
        </w:rPr>
      </w:pPr>
      <w:r w:rsidRPr="004816B8">
        <w:rPr>
          <w:rFonts w:ascii="Times New Roman" w:hAnsi="Times New Roman"/>
          <w:color w:val="000000" w:themeColor="text1"/>
          <w:lang w:val="en-GB"/>
        </w:rPr>
        <w:t xml:space="preserve"> </w:t>
      </w:r>
    </w:p>
    <w:p w:rsidR="003E500C" w:rsidRPr="004816B8" w:rsidRDefault="003E500C" w:rsidP="003E500C">
      <w:pPr>
        <w:spacing w:after="200" w:line="360" w:lineRule="auto"/>
        <w:jc w:val="both"/>
        <w:rPr>
          <w:rFonts w:ascii="Times New Roman" w:hAnsi="Times New Roman"/>
          <w:color w:val="000000" w:themeColor="text1"/>
          <w:lang w:val="en-GB"/>
        </w:rPr>
      </w:pPr>
      <w:r w:rsidRPr="004816B8">
        <w:rPr>
          <w:rFonts w:ascii="Times New Roman" w:hAnsi="Times New Roman"/>
          <w:b/>
          <w:color w:val="000000" w:themeColor="text1"/>
          <w:lang w:val="en-GB"/>
        </w:rPr>
        <w:t>Supplementary Figure 2:</w:t>
      </w:r>
      <w:r w:rsidRPr="004816B8">
        <w:rPr>
          <w:rFonts w:ascii="Times New Roman" w:hAnsi="Times New Roman"/>
          <w:color w:val="000000" w:themeColor="text1"/>
          <w:lang w:val="en-GB"/>
        </w:rPr>
        <w:t xml:space="preserve"> </w:t>
      </w:r>
      <w:r w:rsidRPr="004816B8">
        <w:rPr>
          <w:rFonts w:ascii="Times New Roman" w:hAnsi="Times New Roman"/>
          <w:b/>
          <w:color w:val="000000" w:themeColor="text1"/>
          <w:lang w:val="en-GB"/>
        </w:rPr>
        <w:t xml:space="preserve">Characterisation of produced anti-DR4 and anti-DR5 </w:t>
      </w:r>
      <w:proofErr w:type="spellStart"/>
      <w:r w:rsidRPr="004816B8">
        <w:rPr>
          <w:rFonts w:ascii="Times New Roman" w:hAnsi="Times New Roman"/>
          <w:b/>
          <w:color w:val="000000" w:themeColor="text1"/>
          <w:lang w:val="en-GB"/>
        </w:rPr>
        <w:t>mAbs</w:t>
      </w:r>
      <w:proofErr w:type="spellEnd"/>
      <w:r w:rsidRPr="004816B8">
        <w:rPr>
          <w:rFonts w:ascii="Times New Roman" w:hAnsi="Times New Roman"/>
          <w:b/>
          <w:color w:val="000000" w:themeColor="text1"/>
          <w:lang w:val="en-GB"/>
        </w:rPr>
        <w:t xml:space="preserve"> (</w:t>
      </w:r>
      <w:r w:rsidR="00A940BA">
        <w:rPr>
          <w:rFonts w:ascii="Times New Roman" w:hAnsi="Times New Roman"/>
          <w:b/>
          <w:color w:val="000000" w:themeColor="text1"/>
          <w:lang w:val="en-GB"/>
        </w:rPr>
        <w:t>a</w:t>
      </w:r>
      <w:r w:rsidRPr="004816B8">
        <w:rPr>
          <w:rFonts w:ascii="Times New Roman" w:hAnsi="Times New Roman"/>
          <w:b/>
          <w:color w:val="000000" w:themeColor="text1"/>
          <w:lang w:val="en-GB"/>
        </w:rPr>
        <w:t>)</w:t>
      </w:r>
      <w:r w:rsidRPr="004816B8">
        <w:rPr>
          <w:rFonts w:ascii="Times New Roman" w:hAnsi="Times New Roman"/>
          <w:color w:val="000000" w:themeColor="text1"/>
          <w:lang w:val="en-GB"/>
        </w:rPr>
        <w:t xml:space="preserve"> Evaluation of purified antibody titres by ELISA. Purified antibodies were diluted by half, starting from an initial concentration of 500 ng/mL, on recombinant cDR4, cDR5, Fc or BSA and titres were defined as the highest dilution giving an optical density equal or above 1. </w:t>
      </w:r>
      <w:r w:rsidRPr="004816B8">
        <w:rPr>
          <w:rFonts w:ascii="Times New Roman" w:hAnsi="Times New Roman"/>
          <w:b/>
          <w:color w:val="000000" w:themeColor="text1"/>
          <w:lang w:val="en-GB"/>
        </w:rPr>
        <w:t>(</w:t>
      </w:r>
      <w:r w:rsidR="00A940BA">
        <w:rPr>
          <w:rFonts w:ascii="Times New Roman" w:hAnsi="Times New Roman"/>
          <w:b/>
          <w:color w:val="000000" w:themeColor="text1"/>
          <w:lang w:val="en-GB"/>
        </w:rPr>
        <w:t>b</w:t>
      </w:r>
      <w:r w:rsidRPr="004816B8">
        <w:rPr>
          <w:rFonts w:ascii="Times New Roman" w:hAnsi="Times New Roman"/>
          <w:b/>
          <w:color w:val="000000" w:themeColor="text1"/>
          <w:lang w:val="en-GB"/>
        </w:rPr>
        <w:t>)</w:t>
      </w:r>
      <w:r w:rsidRPr="004816B8">
        <w:rPr>
          <w:rFonts w:ascii="Times New Roman" w:hAnsi="Times New Roman"/>
          <w:color w:val="000000" w:themeColor="text1"/>
          <w:lang w:val="en-GB"/>
        </w:rPr>
        <w:t xml:space="preserve"> Recognition of non-</w:t>
      </w:r>
      <w:proofErr w:type="spellStart"/>
      <w:r w:rsidRPr="004816B8">
        <w:rPr>
          <w:rFonts w:ascii="Times New Roman" w:hAnsi="Times New Roman"/>
          <w:color w:val="000000" w:themeColor="text1"/>
          <w:lang w:val="en-GB"/>
        </w:rPr>
        <w:t>denaturated</w:t>
      </w:r>
      <w:proofErr w:type="spellEnd"/>
      <w:r w:rsidRPr="004816B8">
        <w:rPr>
          <w:rFonts w:ascii="Times New Roman" w:hAnsi="Times New Roman"/>
          <w:color w:val="000000" w:themeColor="text1"/>
          <w:lang w:val="en-GB"/>
        </w:rPr>
        <w:t xml:space="preserve"> (left) and </w:t>
      </w:r>
      <w:proofErr w:type="spellStart"/>
      <w:r w:rsidRPr="004816B8">
        <w:rPr>
          <w:rFonts w:ascii="Times New Roman" w:hAnsi="Times New Roman"/>
          <w:color w:val="000000" w:themeColor="text1"/>
          <w:lang w:val="en-GB"/>
        </w:rPr>
        <w:t>denaturated</w:t>
      </w:r>
      <w:proofErr w:type="spellEnd"/>
      <w:r w:rsidRPr="004816B8">
        <w:rPr>
          <w:rFonts w:ascii="Times New Roman" w:hAnsi="Times New Roman"/>
          <w:color w:val="000000" w:themeColor="text1"/>
          <w:lang w:val="en-GB"/>
        </w:rPr>
        <w:t xml:space="preserve"> forms (right) of recombinant cDR4 (above) and cDR5 (below) by </w:t>
      </w:r>
      <w:proofErr w:type="spellStart"/>
      <w:r w:rsidRPr="004816B8">
        <w:rPr>
          <w:rFonts w:ascii="Times New Roman" w:hAnsi="Times New Roman"/>
          <w:color w:val="000000" w:themeColor="text1"/>
          <w:lang w:val="en-GB"/>
        </w:rPr>
        <w:t>mAbs</w:t>
      </w:r>
      <w:proofErr w:type="spellEnd"/>
      <w:r w:rsidRPr="004816B8">
        <w:rPr>
          <w:rFonts w:ascii="Times New Roman" w:hAnsi="Times New Roman"/>
          <w:color w:val="000000" w:themeColor="text1"/>
          <w:lang w:val="en-GB"/>
        </w:rPr>
        <w:t xml:space="preserve"> was evaluated by dot blot. cDR4 and cDR5 (150 ng/µl) were </w:t>
      </w:r>
      <w:proofErr w:type="spellStart"/>
      <w:r w:rsidRPr="004816B8">
        <w:rPr>
          <w:rFonts w:ascii="Times New Roman" w:hAnsi="Times New Roman"/>
          <w:color w:val="000000" w:themeColor="text1"/>
          <w:lang w:val="en-GB"/>
        </w:rPr>
        <w:t>denaturated</w:t>
      </w:r>
      <w:proofErr w:type="spellEnd"/>
      <w:r w:rsidRPr="004816B8">
        <w:rPr>
          <w:rFonts w:ascii="Times New Roman" w:hAnsi="Times New Roman"/>
          <w:color w:val="000000" w:themeColor="text1"/>
          <w:lang w:val="en-GB"/>
        </w:rPr>
        <w:t xml:space="preserve"> using 10% of 1 M DTT (dithiothreitol) and heat (95°C for 5 min) and deposited onto nitrocellulose membranes. After blocking with milk, dot blots were incubated with 1 µg/mL purified </w:t>
      </w:r>
      <w:proofErr w:type="spellStart"/>
      <w:r w:rsidRPr="004816B8">
        <w:rPr>
          <w:rFonts w:ascii="Times New Roman" w:hAnsi="Times New Roman"/>
          <w:color w:val="000000" w:themeColor="text1"/>
          <w:lang w:val="en-GB"/>
        </w:rPr>
        <w:t>mAb</w:t>
      </w:r>
      <w:proofErr w:type="spellEnd"/>
      <w:r w:rsidRPr="004816B8">
        <w:rPr>
          <w:rFonts w:ascii="Times New Roman" w:hAnsi="Times New Roman"/>
          <w:color w:val="000000" w:themeColor="text1"/>
          <w:lang w:val="en-GB"/>
        </w:rPr>
        <w:t xml:space="preserve">, and binding of primary antibody was revealed using a secondary anti-mouse IgG (H+L) antibody coupled to the HRP followed </w:t>
      </w:r>
      <w:proofErr w:type="spellStart"/>
      <w:r w:rsidRPr="004816B8">
        <w:rPr>
          <w:rFonts w:ascii="Times New Roman" w:hAnsi="Times New Roman"/>
          <w:color w:val="000000" w:themeColor="text1"/>
          <w:lang w:val="en-GB"/>
        </w:rPr>
        <w:t>chemoluminescence</w:t>
      </w:r>
      <w:proofErr w:type="spellEnd"/>
      <w:r w:rsidRPr="004816B8">
        <w:rPr>
          <w:rFonts w:ascii="Times New Roman" w:hAnsi="Times New Roman"/>
          <w:color w:val="000000" w:themeColor="text1"/>
          <w:lang w:val="en-GB"/>
        </w:rPr>
        <w:t xml:space="preserve">. </w:t>
      </w:r>
      <w:r w:rsidRPr="004816B8">
        <w:rPr>
          <w:rFonts w:ascii="Times New Roman" w:hAnsi="Times New Roman"/>
          <w:b/>
          <w:color w:val="000000" w:themeColor="text1"/>
          <w:lang w:val="en-GB"/>
        </w:rPr>
        <w:t>(</w:t>
      </w:r>
      <w:r w:rsidR="00A940BA">
        <w:rPr>
          <w:rFonts w:ascii="Times New Roman" w:hAnsi="Times New Roman"/>
          <w:b/>
          <w:color w:val="000000" w:themeColor="text1"/>
          <w:lang w:val="en-GB"/>
        </w:rPr>
        <w:t>c</w:t>
      </w:r>
      <w:r w:rsidRPr="004816B8">
        <w:rPr>
          <w:rFonts w:ascii="Times New Roman" w:hAnsi="Times New Roman"/>
          <w:b/>
          <w:color w:val="000000" w:themeColor="text1"/>
          <w:lang w:val="en-GB"/>
        </w:rPr>
        <w:t>)</w:t>
      </w:r>
      <w:r w:rsidRPr="004816B8">
        <w:rPr>
          <w:rFonts w:ascii="Times New Roman" w:hAnsi="Times New Roman"/>
          <w:color w:val="000000" w:themeColor="text1"/>
          <w:lang w:val="en-GB"/>
        </w:rPr>
        <w:t xml:space="preserve"> Schematic representation of the isotypic landscape of the DR4 and DR5 </w:t>
      </w:r>
      <w:proofErr w:type="spellStart"/>
      <w:r w:rsidRPr="004816B8">
        <w:rPr>
          <w:rFonts w:ascii="Times New Roman" w:hAnsi="Times New Roman"/>
          <w:color w:val="000000" w:themeColor="text1"/>
          <w:lang w:val="en-GB"/>
        </w:rPr>
        <w:t>mAbs</w:t>
      </w:r>
      <w:proofErr w:type="spellEnd"/>
      <w:r w:rsidRPr="004816B8">
        <w:rPr>
          <w:rFonts w:ascii="Times New Roman" w:hAnsi="Times New Roman"/>
          <w:color w:val="000000" w:themeColor="text1"/>
          <w:lang w:val="en-GB"/>
        </w:rPr>
        <w:t xml:space="preserve"> generated in this study.   </w:t>
      </w:r>
    </w:p>
    <w:p w:rsidR="003E500C" w:rsidRPr="004816B8" w:rsidRDefault="003E500C" w:rsidP="003E500C">
      <w:pPr>
        <w:spacing w:after="200" w:line="360" w:lineRule="auto"/>
        <w:jc w:val="both"/>
        <w:rPr>
          <w:rFonts w:ascii="Times New Roman" w:hAnsi="Times New Roman"/>
          <w:color w:val="000000" w:themeColor="text1"/>
          <w:lang w:val="en-GB"/>
        </w:rPr>
      </w:pPr>
      <w:r w:rsidRPr="004816B8">
        <w:rPr>
          <w:rFonts w:ascii="Times New Roman" w:hAnsi="Times New Roman"/>
          <w:b/>
          <w:color w:val="000000" w:themeColor="text1"/>
          <w:lang w:val="en-GB"/>
        </w:rPr>
        <w:lastRenderedPageBreak/>
        <w:t>Supplementary Figure 3</w:t>
      </w:r>
      <w:r w:rsidRPr="004816B8">
        <w:rPr>
          <w:rFonts w:ascii="Times New Roman" w:hAnsi="Times New Roman"/>
          <w:color w:val="000000" w:themeColor="text1"/>
          <w:lang w:val="en-GB"/>
        </w:rPr>
        <w:t xml:space="preserve">: </w:t>
      </w:r>
      <w:r w:rsidRPr="004816B8">
        <w:rPr>
          <w:rFonts w:ascii="Times New Roman" w:hAnsi="Times New Roman"/>
          <w:b/>
          <w:color w:val="000000" w:themeColor="text1"/>
          <w:lang w:val="en-GB"/>
        </w:rPr>
        <w:t>(</w:t>
      </w:r>
      <w:r w:rsidR="00A940BA">
        <w:rPr>
          <w:rFonts w:ascii="Times New Roman" w:hAnsi="Times New Roman"/>
          <w:b/>
          <w:color w:val="000000" w:themeColor="text1"/>
          <w:lang w:val="en-GB"/>
        </w:rPr>
        <w:t>a</w:t>
      </w:r>
      <w:r w:rsidRPr="004816B8">
        <w:rPr>
          <w:rFonts w:ascii="Times New Roman" w:hAnsi="Times New Roman"/>
          <w:b/>
          <w:color w:val="000000" w:themeColor="text1"/>
          <w:lang w:val="en-GB"/>
        </w:rPr>
        <w:t xml:space="preserve">) </w:t>
      </w:r>
      <w:r w:rsidRPr="004816B8">
        <w:rPr>
          <w:rFonts w:ascii="Times New Roman" w:hAnsi="Times New Roman"/>
          <w:color w:val="000000" w:themeColor="text1"/>
          <w:lang w:val="en-GB"/>
        </w:rPr>
        <w:t xml:space="preserve">Inhibitory potential of the anti-DR4 </w:t>
      </w:r>
      <w:proofErr w:type="spellStart"/>
      <w:r w:rsidRPr="004816B8">
        <w:rPr>
          <w:rFonts w:ascii="Times New Roman" w:hAnsi="Times New Roman"/>
          <w:color w:val="000000" w:themeColor="text1"/>
          <w:lang w:val="en-GB"/>
        </w:rPr>
        <w:t>mAb</w:t>
      </w:r>
      <w:proofErr w:type="spellEnd"/>
      <w:r w:rsidRPr="004816B8">
        <w:rPr>
          <w:rFonts w:ascii="Times New Roman" w:hAnsi="Times New Roman"/>
          <w:color w:val="000000" w:themeColor="text1"/>
          <w:lang w:val="en-GB"/>
        </w:rPr>
        <w:t xml:space="preserve"> C#5. MDA-MB-231-DKO reconstituted with DR4 (MDA-MB-231-DKO-DR4</w:t>
      </w:r>
      <w:r w:rsidRPr="004816B8">
        <w:rPr>
          <w:rFonts w:ascii="Times New Roman" w:hAnsi="Times New Roman"/>
          <w:color w:val="000000" w:themeColor="text1"/>
          <w:vertAlign w:val="superscript"/>
          <w:lang w:val="en-GB"/>
        </w:rPr>
        <w:t>rec</w:t>
      </w:r>
      <w:r w:rsidRPr="004816B8">
        <w:rPr>
          <w:rFonts w:ascii="Times New Roman" w:hAnsi="Times New Roman"/>
          <w:color w:val="000000" w:themeColor="text1"/>
          <w:lang w:val="en-GB"/>
        </w:rPr>
        <w:t>)</w:t>
      </w:r>
      <w:r w:rsidRPr="004816B8">
        <w:rPr>
          <w:rFonts w:ascii="Times New Roman" w:hAnsi="Times New Roman"/>
          <w:color w:val="000000" w:themeColor="text1"/>
          <w:vertAlign w:val="superscript"/>
          <w:lang w:val="en-GB"/>
        </w:rPr>
        <w:t xml:space="preserve"> </w:t>
      </w:r>
      <w:r w:rsidRPr="004816B8">
        <w:rPr>
          <w:rFonts w:ascii="Times New Roman" w:hAnsi="Times New Roman"/>
          <w:color w:val="000000" w:themeColor="text1"/>
          <w:lang w:val="en-GB"/>
        </w:rPr>
        <w:t>cells were treated with 10 µg/mL of C#5, His-TRAIL (1 µg/ml)</w:t>
      </w:r>
      <w:r w:rsidRPr="004816B8">
        <w:rPr>
          <w:rFonts w:ascii="Times New Roman" w:hAnsi="Times New Roman"/>
          <w:color w:val="000000" w:themeColor="text1"/>
          <w:vertAlign w:val="superscript"/>
          <w:lang w:val="en-GB"/>
        </w:rPr>
        <w:t xml:space="preserve"> </w:t>
      </w:r>
      <w:r w:rsidRPr="004816B8">
        <w:rPr>
          <w:rFonts w:ascii="Times New Roman" w:hAnsi="Times New Roman"/>
          <w:color w:val="000000" w:themeColor="text1"/>
          <w:lang w:val="en-GB"/>
        </w:rPr>
        <w:t xml:space="preserve">or the combination of both compounds for 20 h and apoptosis was quantified by flow cytometry. Significance was evaluated by ANOVA test with the mean </w:t>
      </w:r>
      <w:proofErr w:type="gramStart"/>
      <w:r w:rsidRPr="004816B8">
        <w:rPr>
          <w:rFonts w:ascii="Times New Roman" w:hAnsi="Times New Roman"/>
          <w:color w:val="000000" w:themeColor="text1"/>
          <w:lang w:val="en-GB"/>
        </w:rPr>
        <w:t>values  +</w:t>
      </w:r>
      <w:proofErr w:type="gramEnd"/>
      <w:r w:rsidRPr="004816B8">
        <w:rPr>
          <w:rFonts w:ascii="Times New Roman" w:hAnsi="Times New Roman"/>
          <w:color w:val="000000" w:themeColor="text1"/>
          <w:lang w:val="en-GB"/>
        </w:rPr>
        <w:t xml:space="preserve">/- SD (n=3) ** p &lt; 0.05. </w:t>
      </w:r>
      <w:r w:rsidRPr="004816B8">
        <w:rPr>
          <w:rFonts w:ascii="Times New Roman" w:hAnsi="Times New Roman"/>
          <w:b/>
          <w:color w:val="000000" w:themeColor="text1"/>
          <w:lang w:val="en-GB"/>
        </w:rPr>
        <w:t>(</w:t>
      </w:r>
      <w:r w:rsidR="00A940BA">
        <w:rPr>
          <w:rFonts w:ascii="Times New Roman" w:hAnsi="Times New Roman"/>
          <w:b/>
          <w:color w:val="000000" w:themeColor="text1"/>
          <w:lang w:val="en-GB"/>
        </w:rPr>
        <w:t>b</w:t>
      </w:r>
      <w:r w:rsidRPr="004816B8">
        <w:rPr>
          <w:rFonts w:ascii="Times New Roman" w:hAnsi="Times New Roman"/>
          <w:b/>
          <w:color w:val="000000" w:themeColor="text1"/>
          <w:lang w:val="en-GB"/>
        </w:rPr>
        <w:t>)</w:t>
      </w:r>
      <w:r w:rsidRPr="004816B8">
        <w:rPr>
          <w:rFonts w:ascii="Times New Roman" w:hAnsi="Times New Roman"/>
          <w:color w:val="000000" w:themeColor="text1"/>
          <w:lang w:val="en-GB"/>
        </w:rPr>
        <w:t xml:space="preserve"> Apoptotic potential of cross-linked anti-DR4 </w:t>
      </w:r>
      <w:proofErr w:type="spellStart"/>
      <w:r w:rsidRPr="004816B8">
        <w:rPr>
          <w:rFonts w:ascii="Times New Roman" w:hAnsi="Times New Roman"/>
          <w:color w:val="000000" w:themeColor="text1"/>
          <w:lang w:val="en-GB"/>
        </w:rPr>
        <w:t>mAbs</w:t>
      </w:r>
      <w:proofErr w:type="spellEnd"/>
      <w:r w:rsidRPr="004816B8">
        <w:rPr>
          <w:rFonts w:ascii="Times New Roman" w:hAnsi="Times New Roman"/>
          <w:color w:val="000000" w:themeColor="text1"/>
          <w:lang w:val="en-GB"/>
        </w:rPr>
        <w:t xml:space="preserve">. BL2 cells were treated for 20 h with 5 µg/mL of </w:t>
      </w:r>
      <w:proofErr w:type="spellStart"/>
      <w:r w:rsidRPr="004816B8">
        <w:rPr>
          <w:rFonts w:ascii="Times New Roman" w:hAnsi="Times New Roman"/>
          <w:color w:val="000000" w:themeColor="text1"/>
          <w:lang w:val="en-GB"/>
        </w:rPr>
        <w:t>mAbs</w:t>
      </w:r>
      <w:proofErr w:type="spellEnd"/>
      <w:r w:rsidRPr="004816B8">
        <w:rPr>
          <w:rFonts w:ascii="Times New Roman" w:hAnsi="Times New Roman"/>
          <w:color w:val="000000" w:themeColor="text1"/>
          <w:lang w:val="en-GB"/>
        </w:rPr>
        <w:t xml:space="preserve"> alone (white) or </w:t>
      </w:r>
      <w:proofErr w:type="spellStart"/>
      <w:r w:rsidRPr="004816B8">
        <w:rPr>
          <w:rFonts w:ascii="Times New Roman" w:hAnsi="Times New Roman"/>
          <w:color w:val="000000" w:themeColor="text1"/>
          <w:lang w:val="en-GB"/>
        </w:rPr>
        <w:t>mAbs</w:t>
      </w:r>
      <w:proofErr w:type="spellEnd"/>
      <w:r w:rsidRPr="004816B8">
        <w:rPr>
          <w:rFonts w:ascii="Times New Roman" w:hAnsi="Times New Roman"/>
          <w:color w:val="000000" w:themeColor="text1"/>
          <w:lang w:val="en-GB"/>
        </w:rPr>
        <w:t xml:space="preserve"> cross-linked with 5 µg/mL of secondary anti-mouse antibody (grey). Cells were harvested and apoptosis was detected via Annexin V / 7AAD binding by flow cytometry. </w:t>
      </w:r>
      <w:r w:rsidRPr="004816B8">
        <w:rPr>
          <w:rFonts w:ascii="Times New Roman" w:hAnsi="Times New Roman"/>
          <w:b/>
          <w:color w:val="000000" w:themeColor="text1"/>
          <w:lang w:val="en-GB"/>
        </w:rPr>
        <w:t>(</w:t>
      </w:r>
      <w:r w:rsidR="00A940BA">
        <w:rPr>
          <w:rFonts w:ascii="Times New Roman" w:hAnsi="Times New Roman"/>
          <w:b/>
          <w:color w:val="000000" w:themeColor="text1"/>
          <w:lang w:val="en-GB"/>
        </w:rPr>
        <w:t>c</w:t>
      </w:r>
      <w:bookmarkStart w:id="0" w:name="_GoBack"/>
      <w:bookmarkEnd w:id="0"/>
      <w:r w:rsidRPr="004816B8">
        <w:rPr>
          <w:rFonts w:ascii="Times New Roman" w:hAnsi="Times New Roman"/>
          <w:b/>
          <w:color w:val="000000" w:themeColor="text1"/>
          <w:lang w:val="en-GB"/>
        </w:rPr>
        <w:t>)</w:t>
      </w:r>
      <w:r w:rsidRPr="004816B8">
        <w:rPr>
          <w:rFonts w:ascii="Times New Roman" w:hAnsi="Times New Roman"/>
          <w:color w:val="000000" w:themeColor="text1"/>
          <w:lang w:val="en-GB"/>
        </w:rPr>
        <w:t xml:space="preserve"> 1 µg/mL of C#16 and Mapatumumab were tested alone (white) or with 1 µg/mL of a secondary anti-mouse or anti-human antibody (grey), respectively, on BL2 cells for 20 h. Cross-link effect on the induction of apoptosis was evaluated by flow cytometry as described above. </w:t>
      </w:r>
      <w:r w:rsidRPr="004816B8">
        <w:rPr>
          <w:rFonts w:ascii="Times New Roman" w:hAnsi="Times New Roman"/>
          <w:b/>
          <w:color w:val="000000" w:themeColor="text1"/>
          <w:lang w:val="en-GB"/>
        </w:rPr>
        <w:t>(</w:t>
      </w:r>
      <w:r w:rsidR="00A940BA">
        <w:rPr>
          <w:rFonts w:ascii="Times New Roman" w:hAnsi="Times New Roman"/>
          <w:b/>
          <w:color w:val="000000" w:themeColor="text1"/>
          <w:lang w:val="en-GB"/>
        </w:rPr>
        <w:t>d</w:t>
      </w:r>
      <w:r w:rsidRPr="004816B8">
        <w:rPr>
          <w:rFonts w:ascii="Times New Roman" w:hAnsi="Times New Roman"/>
          <w:b/>
          <w:color w:val="000000" w:themeColor="text1"/>
          <w:lang w:val="en-GB"/>
        </w:rPr>
        <w:t xml:space="preserve">) </w:t>
      </w:r>
      <w:r w:rsidRPr="004816B8">
        <w:rPr>
          <w:rFonts w:ascii="Times New Roman" w:hAnsi="Times New Roman"/>
          <w:color w:val="000000" w:themeColor="text1"/>
          <w:lang w:val="en-GB"/>
        </w:rPr>
        <w:t xml:space="preserve">The synergic potential of enhancers antibodies was assessed using HCT116 parental (white bars) or isogenic cells expressing either DR4 (blue bars) or DR5 (red bars). Cells were stimulated for 20h with the anti-DR4 enhancer antibodies </w:t>
      </w:r>
      <w:proofErr w:type="spellStart"/>
      <w:r w:rsidRPr="004816B8">
        <w:rPr>
          <w:rFonts w:ascii="Times New Roman" w:hAnsi="Times New Roman"/>
          <w:color w:val="000000" w:themeColor="text1"/>
          <w:lang w:val="en-GB"/>
        </w:rPr>
        <w:t>mAbs</w:t>
      </w:r>
      <w:proofErr w:type="spellEnd"/>
      <w:r w:rsidRPr="004816B8">
        <w:rPr>
          <w:rFonts w:ascii="Times New Roman" w:hAnsi="Times New Roman"/>
          <w:color w:val="000000" w:themeColor="text1"/>
          <w:lang w:val="en-GB"/>
        </w:rPr>
        <w:t xml:space="preserve"> C#2 and C#11, anti-DR5 antibodies </w:t>
      </w:r>
      <w:proofErr w:type="spellStart"/>
      <w:r w:rsidRPr="004816B8">
        <w:rPr>
          <w:rFonts w:ascii="Times New Roman" w:hAnsi="Times New Roman"/>
          <w:color w:val="000000" w:themeColor="text1"/>
          <w:lang w:val="en-GB"/>
        </w:rPr>
        <w:t>mAbs</w:t>
      </w:r>
      <w:proofErr w:type="spellEnd"/>
      <w:r w:rsidRPr="004816B8">
        <w:rPr>
          <w:rFonts w:ascii="Times New Roman" w:hAnsi="Times New Roman"/>
          <w:color w:val="000000" w:themeColor="text1"/>
          <w:lang w:val="en-GB"/>
        </w:rPr>
        <w:t xml:space="preserve"> C#22 and C#24, His-TRAIL or with the combination, as described figure 4C, and apoptosis was evaluated by annexin V staining.</w:t>
      </w:r>
      <w:r w:rsidRPr="004816B8">
        <w:rPr>
          <w:rFonts w:ascii="Times New Roman" w:hAnsi="Times New Roman"/>
          <w:b/>
          <w:color w:val="000000" w:themeColor="text1"/>
          <w:lang w:val="en-GB"/>
        </w:rPr>
        <w:t xml:space="preserve"> </w:t>
      </w:r>
    </w:p>
    <w:p w:rsidR="00CE024D" w:rsidRPr="003E500C" w:rsidRDefault="00CE024D">
      <w:pPr>
        <w:rPr>
          <w:lang w:val="en-GB"/>
        </w:rPr>
      </w:pPr>
    </w:p>
    <w:sectPr w:rsidR="00CE024D" w:rsidRPr="003E500C" w:rsidSect="00146059">
      <w:pgSz w:w="13960" w:h="20040"/>
      <w:pgMar w:top="964" w:right="1486" w:bottom="2240" w:left="1418"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7"/>
  <w:doNotDisplayPageBoundaries/>
  <w:displayBackgroundShape/>
  <w:proofState w:spelling="clean" w:grammar="clean"/>
  <w:defaultTabStop w:val="708"/>
  <w:hyphenationZone w:val="425"/>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00C"/>
    <w:rsid w:val="00006226"/>
    <w:rsid w:val="000542A1"/>
    <w:rsid w:val="000A5FF4"/>
    <w:rsid w:val="000A6097"/>
    <w:rsid w:val="000C6B1F"/>
    <w:rsid w:val="000D7F52"/>
    <w:rsid w:val="0013230B"/>
    <w:rsid w:val="00146059"/>
    <w:rsid w:val="001719AD"/>
    <w:rsid w:val="001E58CF"/>
    <w:rsid w:val="0021744B"/>
    <w:rsid w:val="0022628C"/>
    <w:rsid w:val="0023556A"/>
    <w:rsid w:val="00243B31"/>
    <w:rsid w:val="002D0168"/>
    <w:rsid w:val="003919B4"/>
    <w:rsid w:val="003E500C"/>
    <w:rsid w:val="003E5DCC"/>
    <w:rsid w:val="004272C1"/>
    <w:rsid w:val="00446E56"/>
    <w:rsid w:val="00464D99"/>
    <w:rsid w:val="00481F34"/>
    <w:rsid w:val="00492DCB"/>
    <w:rsid w:val="005A6B81"/>
    <w:rsid w:val="005C5ECF"/>
    <w:rsid w:val="005D08C7"/>
    <w:rsid w:val="00607CA7"/>
    <w:rsid w:val="006216F7"/>
    <w:rsid w:val="00633809"/>
    <w:rsid w:val="00667EF8"/>
    <w:rsid w:val="00687329"/>
    <w:rsid w:val="006C531B"/>
    <w:rsid w:val="00707EF9"/>
    <w:rsid w:val="00712062"/>
    <w:rsid w:val="00744271"/>
    <w:rsid w:val="0077131B"/>
    <w:rsid w:val="007D557E"/>
    <w:rsid w:val="007E1EC0"/>
    <w:rsid w:val="007F1262"/>
    <w:rsid w:val="00833417"/>
    <w:rsid w:val="008548F8"/>
    <w:rsid w:val="008A7CD4"/>
    <w:rsid w:val="0091247D"/>
    <w:rsid w:val="009B034A"/>
    <w:rsid w:val="009B106B"/>
    <w:rsid w:val="009C55B4"/>
    <w:rsid w:val="009D2384"/>
    <w:rsid w:val="00A10F6D"/>
    <w:rsid w:val="00A111EC"/>
    <w:rsid w:val="00A51B18"/>
    <w:rsid w:val="00A5471F"/>
    <w:rsid w:val="00A75300"/>
    <w:rsid w:val="00A9292D"/>
    <w:rsid w:val="00A940BA"/>
    <w:rsid w:val="00AB55C3"/>
    <w:rsid w:val="00AF16E5"/>
    <w:rsid w:val="00B20051"/>
    <w:rsid w:val="00B4211F"/>
    <w:rsid w:val="00B432BA"/>
    <w:rsid w:val="00B46E85"/>
    <w:rsid w:val="00B7430C"/>
    <w:rsid w:val="00B87995"/>
    <w:rsid w:val="00BF473F"/>
    <w:rsid w:val="00BF5B29"/>
    <w:rsid w:val="00C23F46"/>
    <w:rsid w:val="00C60556"/>
    <w:rsid w:val="00C91226"/>
    <w:rsid w:val="00C92425"/>
    <w:rsid w:val="00CA5167"/>
    <w:rsid w:val="00CB34E1"/>
    <w:rsid w:val="00CB4009"/>
    <w:rsid w:val="00CE024D"/>
    <w:rsid w:val="00D2067E"/>
    <w:rsid w:val="00D25CED"/>
    <w:rsid w:val="00D32F44"/>
    <w:rsid w:val="00D46E72"/>
    <w:rsid w:val="00D8678F"/>
    <w:rsid w:val="00DA1442"/>
    <w:rsid w:val="00DA3BD7"/>
    <w:rsid w:val="00DB149C"/>
    <w:rsid w:val="00E025D0"/>
    <w:rsid w:val="00E14E7C"/>
    <w:rsid w:val="00E44781"/>
    <w:rsid w:val="00E564C2"/>
    <w:rsid w:val="00E85E4D"/>
    <w:rsid w:val="00EB0EFD"/>
    <w:rsid w:val="00EE189D"/>
    <w:rsid w:val="00F035FB"/>
    <w:rsid w:val="00F06A0E"/>
    <w:rsid w:val="00F35F32"/>
    <w:rsid w:val="00F8549F"/>
    <w:rsid w:val="00FB7BE3"/>
    <w:rsid w:val="00FE30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1F74AC8"/>
  <w15:chartTrackingRefBased/>
  <w15:docId w15:val="{5C6E4E19-D5CF-3C4D-92BF-23A509D9F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500C"/>
    <w:rPr>
      <w:rFonts w:eastAsiaTheme="minorEastAsi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22heading2">
    <w:name w:val="MDPI_2.2_heading2"/>
    <w:basedOn w:val="Normal"/>
    <w:qFormat/>
    <w:rsid w:val="003E500C"/>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szCs w:val="22"/>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3385</Characters>
  <Application>Microsoft Office Word</Application>
  <DocSecurity>0</DocSecurity>
  <Lines>28</Lines>
  <Paragraphs>7</Paragraphs>
  <ScaleCrop>false</ScaleCrop>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Micheau</dc:creator>
  <cp:keywords/>
  <dc:description/>
  <cp:lastModifiedBy>Olivier Micheau</cp:lastModifiedBy>
  <cp:revision>2</cp:revision>
  <dcterms:created xsi:type="dcterms:W3CDTF">2019-01-21T09:29:00Z</dcterms:created>
  <dcterms:modified xsi:type="dcterms:W3CDTF">2019-01-21T09:29:00Z</dcterms:modified>
</cp:coreProperties>
</file>