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36E" w:rsidRDefault="0076536E" w:rsidP="0076536E">
      <w:pPr>
        <w:spacing w:line="480" w:lineRule="auto"/>
        <w:ind w:firstLineChars="0" w:firstLine="0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>Fig. S1. H3K27me3 levels in parental and NSD2-KD OS cells as measured by western blot analysis.</w:t>
      </w:r>
    </w:p>
    <w:p w:rsidR="0076536E" w:rsidRDefault="0076536E" w:rsidP="0076536E">
      <w:pPr>
        <w:spacing w:line="480" w:lineRule="auto"/>
        <w:ind w:firstLineChars="0" w:firstLine="0"/>
        <w:rPr>
          <w:rFonts w:ascii="Arial" w:hAnsi="Arial" w:cs="Arial"/>
          <w:kern w:val="0"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>Fig. S2. Cell cycle progression in parental and NSD2-KD OS cells as analysed by flow cytometry.</w:t>
      </w:r>
    </w:p>
    <w:p w:rsidR="00D95DDA" w:rsidRPr="001A7B83" w:rsidRDefault="0076536E" w:rsidP="001A7B83">
      <w:pPr>
        <w:spacing w:line="480" w:lineRule="auto"/>
        <w:ind w:firstLineChars="0" w:firstLine="0"/>
        <w:rPr>
          <w:rFonts w:ascii="Arial" w:hAnsi="Arial" w:cs="Arial" w:hint="eastAsia"/>
          <w:kern w:val="0"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 xml:space="preserve">Fig. S3. NSD2 enrichment at </w:t>
      </w:r>
      <w:r>
        <w:rPr>
          <w:rFonts w:ascii="Arial" w:hAnsi="Arial" w:cs="Arial"/>
          <w:b/>
          <w:i/>
          <w:sz w:val="24"/>
          <w:lang w:val="en-GB"/>
        </w:rPr>
        <w:t>BCL2</w:t>
      </w:r>
      <w:r>
        <w:rPr>
          <w:rFonts w:ascii="Arial" w:hAnsi="Arial" w:cs="Arial"/>
          <w:b/>
          <w:sz w:val="24"/>
          <w:lang w:val="en-GB"/>
        </w:rPr>
        <w:t xml:space="preserve"> and </w:t>
      </w:r>
      <w:r>
        <w:rPr>
          <w:rFonts w:ascii="Arial" w:hAnsi="Arial" w:cs="Arial"/>
          <w:b/>
          <w:i/>
          <w:sz w:val="24"/>
          <w:lang w:val="en-GB"/>
        </w:rPr>
        <w:t xml:space="preserve">SOX2 </w:t>
      </w:r>
      <w:r>
        <w:rPr>
          <w:rFonts w:ascii="Arial" w:hAnsi="Arial" w:cs="Arial"/>
          <w:b/>
          <w:sz w:val="24"/>
          <w:lang w:val="en-GB"/>
        </w:rPr>
        <w:t xml:space="preserve">gene loci in control and NSD2-KD 143B cells as assessed by ChIP-qPCR. </w:t>
      </w:r>
      <w:r>
        <w:rPr>
          <w:rFonts w:ascii="Arial" w:hAnsi="Arial" w:cs="Arial"/>
          <w:kern w:val="0"/>
          <w:sz w:val="24"/>
          <w:lang w:val="en-GB"/>
        </w:rPr>
        <w:t>*P&lt;0.05; **P&lt;0.01.</w:t>
      </w:r>
      <w:bookmarkStart w:id="0" w:name="_GoBack"/>
      <w:bookmarkEnd w:id="0"/>
    </w:p>
    <w:sectPr w:rsidR="00D95DDA" w:rsidRPr="001A7B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6F6" w:rsidRDefault="006026F6" w:rsidP="001A7B83">
      <w:pPr>
        <w:ind w:firstLine="420"/>
      </w:pPr>
      <w:r>
        <w:separator/>
      </w:r>
    </w:p>
  </w:endnote>
  <w:endnote w:type="continuationSeparator" w:id="0">
    <w:p w:rsidR="006026F6" w:rsidRDefault="006026F6" w:rsidP="001A7B8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83" w:rsidRDefault="001A7B8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83" w:rsidRDefault="001A7B8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83" w:rsidRDefault="001A7B8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6F6" w:rsidRDefault="006026F6" w:rsidP="001A7B83">
      <w:pPr>
        <w:ind w:firstLine="420"/>
      </w:pPr>
      <w:r>
        <w:separator/>
      </w:r>
    </w:p>
  </w:footnote>
  <w:footnote w:type="continuationSeparator" w:id="0">
    <w:p w:rsidR="006026F6" w:rsidRDefault="006026F6" w:rsidP="001A7B8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83" w:rsidRDefault="001A7B8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83" w:rsidRDefault="001A7B8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83" w:rsidRDefault="001A7B8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6E"/>
    <w:rsid w:val="001A7B83"/>
    <w:rsid w:val="006026F6"/>
    <w:rsid w:val="0076536E"/>
    <w:rsid w:val="00D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8193E1-7AB9-4753-B02A-C5AE2F04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36E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7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7B8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7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7B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>Shanghai Jiaotong University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Jackie</dc:creator>
  <cp:keywords/>
  <dc:description/>
  <cp:lastModifiedBy>H Jackie</cp:lastModifiedBy>
  <cp:revision>2</cp:revision>
  <dcterms:created xsi:type="dcterms:W3CDTF">2019-01-08T07:59:00Z</dcterms:created>
  <dcterms:modified xsi:type="dcterms:W3CDTF">2019-01-08T08:13:00Z</dcterms:modified>
</cp:coreProperties>
</file>