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22722" w14:textId="77777777" w:rsidR="00A93D9E" w:rsidRPr="00CD6379" w:rsidRDefault="00A93D9E" w:rsidP="00A93D9E">
      <w:pPr>
        <w:widowControl/>
        <w:autoSpaceDE w:val="0"/>
        <w:autoSpaceDN w:val="0"/>
        <w:adjustRightInd w:val="0"/>
        <w:spacing w:line="360" w:lineRule="auto"/>
        <w:rPr>
          <w:rFonts w:ascii="Times New Roman" w:eastAsia="宋体" w:hAnsi="Times New Roman"/>
          <w:color w:val="000000"/>
        </w:rPr>
      </w:pPr>
      <w:r w:rsidRPr="00CD6379">
        <w:rPr>
          <w:rFonts w:ascii="Times New Roman" w:hAnsi="Times New Roman"/>
          <w:b/>
        </w:rPr>
        <w:t xml:space="preserve">Supplementary Figure 1 </w:t>
      </w:r>
      <w:r w:rsidRPr="00CD6379">
        <w:rPr>
          <w:rFonts w:ascii="Times New Roman" w:eastAsia="宋体" w:hAnsi="Times New Roman"/>
          <w:color w:val="000000"/>
        </w:rPr>
        <w:t>(A) HDAC activity was detected by microplate reader in</w:t>
      </w:r>
      <w:r w:rsidRPr="00CD6379">
        <w:t xml:space="preserve"> </w:t>
      </w:r>
      <w:r w:rsidRPr="00CD6379">
        <w:rPr>
          <w:rFonts w:ascii="Times New Roman" w:eastAsia="宋体" w:hAnsi="Times New Roman"/>
          <w:color w:val="000000"/>
        </w:rPr>
        <w:t xml:space="preserve">S11 treated and DMSO treated NCI-H460 and NCI-H460/CDDP cells. PXD101 was used as positive control. (B-C) The expression HDAC1 in A549, A549/CDDP, NCI-H460 and NCI-H460/CDDP cells was analyzed after HDAC activity detection. </w:t>
      </w:r>
    </w:p>
    <w:p w14:paraId="003410FB" w14:textId="77777777" w:rsidR="00A93D9E" w:rsidRPr="00CD6379" w:rsidRDefault="00A93D9E" w:rsidP="00A93D9E">
      <w:pPr>
        <w:widowControl/>
        <w:autoSpaceDE w:val="0"/>
        <w:autoSpaceDN w:val="0"/>
        <w:adjustRightInd w:val="0"/>
        <w:spacing w:line="360" w:lineRule="auto"/>
        <w:rPr>
          <w:rFonts w:ascii="Times New Roman" w:eastAsia="宋体" w:hAnsi="Times New Roman"/>
          <w:color w:val="000000"/>
        </w:rPr>
      </w:pPr>
    </w:p>
    <w:p w14:paraId="687C278D" w14:textId="77777777" w:rsidR="00A93D9E" w:rsidRPr="00CD6379" w:rsidRDefault="00A93D9E" w:rsidP="00A93D9E">
      <w:pPr>
        <w:spacing w:line="360" w:lineRule="auto"/>
        <w:rPr>
          <w:rFonts w:ascii="Times New Roman" w:hAnsi="Times New Roman"/>
        </w:rPr>
      </w:pPr>
      <w:r w:rsidRPr="00CD6379">
        <w:rPr>
          <w:rFonts w:ascii="Times New Roman" w:hAnsi="Times New Roman"/>
          <w:b/>
        </w:rPr>
        <w:t xml:space="preserve">Supplementary Figure 2 </w:t>
      </w:r>
      <w:r w:rsidRPr="00CD6379">
        <w:rPr>
          <w:rFonts w:ascii="Times New Roman" w:hAnsi="Times New Roman"/>
        </w:rPr>
        <w:t xml:space="preserve">(A) The </w:t>
      </w:r>
      <w:r w:rsidRPr="00CD6379">
        <w:rPr>
          <w:rFonts w:ascii="Times New Roman" w:hAnsi="Times New Roman" w:hint="eastAsia"/>
        </w:rPr>
        <w:t>expression</w:t>
      </w:r>
      <w:r w:rsidRPr="00CD6379">
        <w:rPr>
          <w:rFonts w:ascii="Times New Roman" w:hAnsi="Times New Roman"/>
        </w:rPr>
        <w:t xml:space="preserve"> of </w:t>
      </w:r>
      <w:r w:rsidRPr="00CD6379">
        <w:rPr>
          <w:rFonts w:ascii="Times New Roman" w:hAnsi="Times New Roman" w:hint="eastAsia"/>
        </w:rPr>
        <w:t>P-</w:t>
      </w:r>
      <w:proofErr w:type="spellStart"/>
      <w:r w:rsidRPr="00CD6379">
        <w:rPr>
          <w:rFonts w:ascii="Times New Roman" w:hAnsi="Times New Roman" w:hint="eastAsia"/>
        </w:rPr>
        <w:t>gp</w:t>
      </w:r>
      <w:proofErr w:type="spellEnd"/>
      <w:r w:rsidRPr="00CD6379">
        <w:rPr>
          <w:rFonts w:ascii="Times New Roman" w:hAnsi="Times New Roman"/>
        </w:rPr>
        <w:t xml:space="preserve"> in A549 and A549/CDDP cells. </w:t>
      </w:r>
      <w:r w:rsidRPr="00CD6379">
        <w:rPr>
          <w:rFonts w:ascii="Times New Roman" w:hAnsi="Times New Roman"/>
          <w:bCs/>
        </w:rPr>
        <w:t>β</w:t>
      </w:r>
      <w:r w:rsidRPr="00CD6379">
        <w:rPr>
          <w:rFonts w:ascii="Times New Roman" w:hAnsi="Times New Roman"/>
        </w:rPr>
        <w:t xml:space="preserve">-actin expression was used as a loading control. (B) </w:t>
      </w:r>
      <w:r w:rsidRPr="00CD6379">
        <w:rPr>
          <w:rFonts w:ascii="Times New Roman" w:eastAsia="宋体" w:hAnsi="Times New Roman"/>
          <w:color w:val="000000"/>
        </w:rPr>
        <w:t xml:space="preserve">The cell viability of A549, A549/CDDP, NCI-H460, NCI-H460/CDDP, NCI-H1299, and NCI-H1299/CDDP cells after treated with different concentrations of </w:t>
      </w:r>
      <w:r w:rsidRPr="00CD6379">
        <w:rPr>
          <w:rFonts w:ascii="Times New Roman" w:eastAsia="宋体" w:hAnsi="Times New Roman" w:hint="eastAsia"/>
          <w:color w:val="000000"/>
        </w:rPr>
        <w:t>PXD101</w:t>
      </w:r>
      <w:r w:rsidRPr="00CD6379">
        <w:rPr>
          <w:rFonts w:ascii="Times New Roman" w:eastAsia="宋体" w:hAnsi="Times New Roman"/>
          <w:color w:val="000000"/>
        </w:rPr>
        <w:t xml:space="preserve"> for 48 h</w:t>
      </w:r>
      <w:r w:rsidRPr="00CD6379">
        <w:rPr>
          <w:rFonts w:ascii="Times New Roman" w:hAnsi="Times New Roman"/>
        </w:rPr>
        <w:t xml:space="preserve"> </w:t>
      </w:r>
      <w:r w:rsidRPr="00CD6379">
        <w:rPr>
          <w:rFonts w:ascii="Times New Roman" w:eastAsia="宋体" w:hAnsi="Times New Roman"/>
          <w:color w:val="000000"/>
        </w:rPr>
        <w:t>(C) The effects of S11 on intracellular accumulation of Rh123 in A549</w:t>
      </w:r>
      <w:r w:rsidRPr="00CD6379">
        <w:rPr>
          <w:rFonts w:ascii="Times New Roman" w:eastAsia="宋体" w:hAnsi="Times New Roman" w:hint="eastAsia"/>
          <w:color w:val="000000"/>
        </w:rPr>
        <w:t>/</w:t>
      </w:r>
      <w:r w:rsidRPr="00CD6379">
        <w:rPr>
          <w:rFonts w:ascii="Times New Roman" w:eastAsia="宋体" w:hAnsi="Times New Roman"/>
          <w:color w:val="000000"/>
        </w:rPr>
        <w:t>CDDP and NCI-H460/CDDP cells were measured by flow cytometry, indirectly reflecting the function of P</w:t>
      </w:r>
      <w:r w:rsidRPr="00CD6379">
        <w:rPr>
          <w:rFonts w:ascii="Times New Roman" w:eastAsia="宋体" w:hAnsi="Times New Roman"/>
          <w:color w:val="000000"/>
        </w:rPr>
        <w:noBreakHyphen/>
      </w:r>
      <w:proofErr w:type="spellStart"/>
      <w:r w:rsidRPr="00CD6379">
        <w:rPr>
          <w:rFonts w:ascii="Times New Roman" w:eastAsia="宋体" w:hAnsi="Times New Roman"/>
          <w:color w:val="000000"/>
        </w:rPr>
        <w:t>gp</w:t>
      </w:r>
      <w:proofErr w:type="spellEnd"/>
      <w:r w:rsidRPr="00CD6379">
        <w:rPr>
          <w:rFonts w:ascii="Times New Roman" w:eastAsia="宋体" w:hAnsi="Times New Roman"/>
          <w:color w:val="000000"/>
        </w:rPr>
        <w:t xml:space="preserve"> following exposure of A549</w:t>
      </w:r>
      <w:r w:rsidRPr="00CD6379">
        <w:rPr>
          <w:rFonts w:ascii="Times New Roman" w:eastAsia="宋体" w:hAnsi="Times New Roman" w:hint="eastAsia"/>
          <w:color w:val="000000"/>
        </w:rPr>
        <w:t>/</w:t>
      </w:r>
      <w:r w:rsidRPr="00CD6379">
        <w:rPr>
          <w:rFonts w:ascii="Times New Roman" w:eastAsia="宋体" w:hAnsi="Times New Roman"/>
          <w:color w:val="000000"/>
        </w:rPr>
        <w:t xml:space="preserve">CDDP and NCI-H460/CDDP cells to S11 or PXD101 for 24 h. </w:t>
      </w:r>
      <w:r w:rsidRPr="00CD6379">
        <w:rPr>
          <w:rFonts w:ascii="Times New Roman" w:hAnsi="Times New Roman"/>
        </w:rPr>
        <w:t xml:space="preserve">(D) The effect of different treatments </w:t>
      </w:r>
      <w:r w:rsidRPr="00CD6379">
        <w:rPr>
          <w:rFonts w:ascii="Times New Roman" w:eastAsia="宋体" w:hAnsi="Times New Roman"/>
          <w:color w:val="000000"/>
        </w:rPr>
        <w:t>with S11, CDDP or the combination of S11 and CDDP</w:t>
      </w:r>
      <w:r w:rsidRPr="00CD6379">
        <w:rPr>
          <w:rFonts w:ascii="Times New Roman" w:hAnsi="Times New Roman"/>
        </w:rPr>
        <w:t xml:space="preserve"> on P-</w:t>
      </w:r>
      <w:proofErr w:type="spellStart"/>
      <w:r w:rsidRPr="00CD6379">
        <w:rPr>
          <w:rFonts w:ascii="Times New Roman" w:hAnsi="Times New Roman"/>
        </w:rPr>
        <w:t>gp</w:t>
      </w:r>
      <w:proofErr w:type="spellEnd"/>
      <w:r w:rsidRPr="00CD6379">
        <w:rPr>
          <w:rFonts w:ascii="Times New Roman" w:hAnsi="Times New Roman"/>
        </w:rPr>
        <w:t xml:space="preserve"> expression in tumor sections from NCI-H460/CDDP xenografts was analyzed by western blot. </w:t>
      </w:r>
    </w:p>
    <w:p w14:paraId="7E06392B" w14:textId="77777777" w:rsidR="00A93D9E" w:rsidRPr="00CD6379" w:rsidRDefault="00A93D9E" w:rsidP="00A93D9E">
      <w:pPr>
        <w:spacing w:line="360" w:lineRule="auto"/>
        <w:rPr>
          <w:rFonts w:ascii="Times New Roman" w:hAnsi="Times New Roman"/>
        </w:rPr>
      </w:pPr>
    </w:p>
    <w:p w14:paraId="4FCC12E4" w14:textId="77777777" w:rsidR="00A93D9E" w:rsidRPr="00CD6379" w:rsidRDefault="00A93D9E" w:rsidP="00A93D9E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CD6379">
        <w:rPr>
          <w:rFonts w:ascii="Times New Roman" w:hAnsi="Times New Roman"/>
          <w:b/>
        </w:rPr>
        <w:t xml:space="preserve">Supplementary Figure 3 </w:t>
      </w:r>
      <w:r w:rsidRPr="00CD6379">
        <w:rPr>
          <w:rFonts w:ascii="Times New Roman" w:hAnsi="Times New Roman"/>
        </w:rPr>
        <w:t xml:space="preserve">(A) The migration ability was accessed in S11 and PXD101 treated NCI-H460/CDDP cells by </w:t>
      </w:r>
      <w:proofErr w:type="spellStart"/>
      <w:r w:rsidRPr="00CD6379">
        <w:rPr>
          <w:rFonts w:ascii="Times New Roman" w:hAnsi="Times New Roman"/>
        </w:rPr>
        <w:t>transwell</w:t>
      </w:r>
      <w:proofErr w:type="spellEnd"/>
      <w:r w:rsidRPr="00CD6379">
        <w:rPr>
          <w:rFonts w:ascii="Times New Roman" w:hAnsi="Times New Roman"/>
        </w:rPr>
        <w:t xml:space="preserve"> migration assay. </w:t>
      </w:r>
      <w:r w:rsidRPr="00CD6379">
        <w:rPr>
          <w:rFonts w:ascii="Times New Roman" w:hAnsi="Times New Roman"/>
          <w:iCs/>
        </w:rPr>
        <w:t>The resultant data were analyzed and graphs from the averaged results of three independent experiments are shown</w:t>
      </w:r>
      <w:r w:rsidRPr="00CD6379">
        <w:rPr>
          <w:rFonts w:ascii="Times New Roman" w:hAnsi="Times New Roman"/>
        </w:rPr>
        <w:t xml:space="preserve">. All error bars are </w:t>
      </w:r>
      <w:proofErr w:type="spellStart"/>
      <w:r w:rsidRPr="00CD6379">
        <w:rPr>
          <w:rFonts w:ascii="Times New Roman" w:hAnsi="Times New Roman"/>
        </w:rPr>
        <w:t>s.e.m</w:t>
      </w:r>
      <w:proofErr w:type="spellEnd"/>
      <w:r w:rsidRPr="00CD6379">
        <w:rPr>
          <w:rFonts w:ascii="Times New Roman" w:hAnsi="Times New Roman"/>
        </w:rPr>
        <w:t xml:space="preserve">. </w:t>
      </w:r>
      <w:r w:rsidRPr="00CD6379">
        <w:rPr>
          <w:rFonts w:ascii="Times New Roman" w:eastAsia="宋体" w:hAnsi="Times New Roman"/>
          <w:color w:val="000000"/>
        </w:rPr>
        <w:t xml:space="preserve">* </w:t>
      </w:r>
      <w:r w:rsidRPr="00CD6379">
        <w:rPr>
          <w:rFonts w:ascii="Times New Roman" w:eastAsia="宋体" w:hAnsi="Times New Roman"/>
          <w:i/>
          <w:color w:val="000000"/>
        </w:rPr>
        <w:t>P</w:t>
      </w:r>
      <w:r w:rsidRPr="00CD6379">
        <w:rPr>
          <w:rFonts w:ascii="Times New Roman" w:eastAsia="宋体" w:hAnsi="Times New Roman"/>
          <w:color w:val="000000"/>
        </w:rPr>
        <w:t xml:space="preserve">&lt;0.05, compare with control. (B) </w:t>
      </w:r>
      <w:r w:rsidRPr="00CD6379">
        <w:rPr>
          <w:rFonts w:ascii="Times New Roman" w:hAnsi="Times New Roman"/>
        </w:rPr>
        <w:t>The apoptotic cells were assessed by FACS analyses in CDDP resistant NSCLC cells after</w:t>
      </w:r>
      <w:r w:rsidRPr="00CD6379">
        <w:rPr>
          <w:rFonts w:ascii="Times New Roman" w:hAnsi="Times New Roman"/>
          <w:kern w:val="0"/>
        </w:rPr>
        <w:t xml:space="preserve"> the treatment with S11, CDDP, or their </w:t>
      </w:r>
      <w:r w:rsidRPr="00CD6379">
        <w:rPr>
          <w:rFonts w:ascii="Times New Roman" w:hAnsi="Times New Roman"/>
        </w:rPr>
        <w:t>combination. A549</w:t>
      </w:r>
      <w:r w:rsidRPr="00CD6379">
        <w:rPr>
          <w:rFonts w:ascii="Times New Roman" w:hAnsi="Times New Roman" w:hint="eastAsia"/>
        </w:rPr>
        <w:t>/</w:t>
      </w:r>
      <w:r w:rsidRPr="00CD6379">
        <w:rPr>
          <w:rFonts w:ascii="Times New Roman" w:hAnsi="Times New Roman"/>
        </w:rPr>
        <w:t xml:space="preserve">CDDP Cells were treated with S11 (8.4 </w:t>
      </w:r>
      <w:r w:rsidRPr="00CD6379">
        <w:rPr>
          <w:rFonts w:ascii="Times New Roman" w:hAnsi="Times New Roman" w:hint="eastAsia"/>
        </w:rPr>
        <w:lastRenderedPageBreak/>
        <w:t>μ</w:t>
      </w:r>
      <w:r w:rsidRPr="00CD6379">
        <w:rPr>
          <w:rFonts w:ascii="Times New Roman" w:hAnsi="Times New Roman"/>
        </w:rPr>
        <w:t xml:space="preserve">M), CDDP (45.6 </w:t>
      </w:r>
      <w:r w:rsidRPr="00CD6379">
        <w:rPr>
          <w:rFonts w:ascii="Times New Roman" w:hAnsi="Times New Roman" w:hint="eastAsia"/>
        </w:rPr>
        <w:t>μ</w:t>
      </w:r>
      <w:r w:rsidRPr="00CD6379">
        <w:rPr>
          <w:rFonts w:ascii="Times New Roman" w:hAnsi="Times New Roman"/>
        </w:rPr>
        <w:t xml:space="preserve">M) or the combination of S11 (8.4 </w:t>
      </w:r>
      <w:r w:rsidRPr="00CD6379">
        <w:rPr>
          <w:rFonts w:ascii="Times New Roman" w:hAnsi="Times New Roman" w:hint="eastAsia"/>
        </w:rPr>
        <w:t>μ</w:t>
      </w:r>
      <w:r w:rsidRPr="00CD6379">
        <w:rPr>
          <w:rFonts w:ascii="Times New Roman" w:hAnsi="Times New Roman"/>
        </w:rPr>
        <w:t xml:space="preserve">M) and CDDP (45.6 </w:t>
      </w:r>
      <w:r w:rsidRPr="00CD6379">
        <w:rPr>
          <w:rFonts w:ascii="Times New Roman" w:hAnsi="Times New Roman" w:hint="eastAsia"/>
        </w:rPr>
        <w:t>μ</w:t>
      </w:r>
      <w:r w:rsidRPr="00CD6379">
        <w:rPr>
          <w:rFonts w:ascii="Times New Roman" w:hAnsi="Times New Roman"/>
        </w:rPr>
        <w:t>M) for 48 h. NCI-H460</w:t>
      </w:r>
      <w:r w:rsidRPr="00CD6379">
        <w:rPr>
          <w:rFonts w:ascii="Times New Roman" w:hAnsi="Times New Roman" w:hint="eastAsia"/>
        </w:rPr>
        <w:t>/</w:t>
      </w:r>
      <w:r w:rsidRPr="00CD6379">
        <w:rPr>
          <w:rFonts w:ascii="Times New Roman" w:hAnsi="Times New Roman"/>
        </w:rPr>
        <w:t xml:space="preserve">CDDP Cells were treated with S11 (38.4 </w:t>
      </w:r>
      <w:r w:rsidRPr="00CD6379">
        <w:rPr>
          <w:rFonts w:ascii="Times New Roman" w:hAnsi="Times New Roman" w:hint="eastAsia"/>
        </w:rPr>
        <w:t>μ</w:t>
      </w:r>
      <w:r w:rsidRPr="00CD6379">
        <w:rPr>
          <w:rFonts w:ascii="Times New Roman" w:hAnsi="Times New Roman"/>
        </w:rPr>
        <w:t xml:space="preserve">M), CDDP (25.8 </w:t>
      </w:r>
      <w:r w:rsidRPr="00CD6379">
        <w:rPr>
          <w:rFonts w:ascii="Times New Roman" w:hAnsi="Times New Roman" w:hint="eastAsia"/>
        </w:rPr>
        <w:t>μ</w:t>
      </w:r>
      <w:r w:rsidRPr="00CD6379">
        <w:rPr>
          <w:rFonts w:ascii="Times New Roman" w:hAnsi="Times New Roman"/>
        </w:rPr>
        <w:t xml:space="preserve">M) or the combination of S11 (38.4 </w:t>
      </w:r>
      <w:r w:rsidRPr="00CD6379">
        <w:rPr>
          <w:rFonts w:ascii="Times New Roman" w:hAnsi="Times New Roman" w:hint="eastAsia"/>
        </w:rPr>
        <w:t>μ</w:t>
      </w:r>
      <w:r w:rsidRPr="00CD6379">
        <w:rPr>
          <w:rFonts w:ascii="Times New Roman" w:hAnsi="Times New Roman"/>
        </w:rPr>
        <w:t xml:space="preserve">M) and CDDP (25.8 </w:t>
      </w:r>
      <w:r w:rsidRPr="00CD6379">
        <w:rPr>
          <w:rFonts w:ascii="Times New Roman" w:hAnsi="Times New Roman" w:hint="eastAsia"/>
        </w:rPr>
        <w:t>μ</w:t>
      </w:r>
      <w:r w:rsidRPr="00CD6379">
        <w:rPr>
          <w:rFonts w:ascii="Times New Roman" w:hAnsi="Times New Roman"/>
        </w:rPr>
        <w:t>M) for 24 h. H1299</w:t>
      </w:r>
      <w:r w:rsidRPr="00CD6379">
        <w:rPr>
          <w:rFonts w:ascii="Times New Roman" w:hAnsi="Times New Roman" w:hint="eastAsia"/>
        </w:rPr>
        <w:t>/</w:t>
      </w:r>
      <w:r w:rsidRPr="00CD6379">
        <w:rPr>
          <w:rFonts w:ascii="Times New Roman" w:hAnsi="Times New Roman"/>
        </w:rPr>
        <w:t xml:space="preserve">CDDP Cells were treated with S11 (16.6 </w:t>
      </w:r>
      <w:r w:rsidRPr="00CD6379">
        <w:rPr>
          <w:rFonts w:ascii="Times New Roman" w:hAnsi="Times New Roman" w:hint="eastAsia"/>
        </w:rPr>
        <w:t>μ</w:t>
      </w:r>
      <w:r w:rsidRPr="00CD6379">
        <w:rPr>
          <w:rFonts w:ascii="Times New Roman" w:hAnsi="Times New Roman"/>
        </w:rPr>
        <w:t xml:space="preserve">M), CDDP (93.1 </w:t>
      </w:r>
      <w:r w:rsidRPr="00CD6379">
        <w:rPr>
          <w:rFonts w:ascii="Times New Roman" w:hAnsi="Times New Roman" w:hint="eastAsia"/>
        </w:rPr>
        <w:t>μ</w:t>
      </w:r>
      <w:r w:rsidRPr="00CD6379">
        <w:rPr>
          <w:rFonts w:ascii="Times New Roman" w:hAnsi="Times New Roman"/>
        </w:rPr>
        <w:t xml:space="preserve">M) or the combination of S11 (16.6 </w:t>
      </w:r>
      <w:r w:rsidRPr="00CD6379">
        <w:rPr>
          <w:rFonts w:ascii="Times New Roman" w:hAnsi="Times New Roman" w:hint="eastAsia"/>
        </w:rPr>
        <w:t>μ</w:t>
      </w:r>
      <w:r w:rsidRPr="00CD6379">
        <w:rPr>
          <w:rFonts w:ascii="Times New Roman" w:hAnsi="Times New Roman"/>
        </w:rPr>
        <w:t xml:space="preserve">M) and CDDP (93.1 </w:t>
      </w:r>
      <w:r w:rsidRPr="00CD6379">
        <w:rPr>
          <w:rFonts w:ascii="Times New Roman" w:hAnsi="Times New Roman" w:hint="eastAsia"/>
        </w:rPr>
        <w:t>μ</w:t>
      </w:r>
      <w:r w:rsidRPr="00CD6379">
        <w:rPr>
          <w:rFonts w:ascii="Times New Roman" w:hAnsi="Times New Roman"/>
        </w:rPr>
        <w:t>M) for 48 h.</w:t>
      </w:r>
    </w:p>
    <w:p w14:paraId="62FDA0CC" w14:textId="77777777" w:rsidR="00A93D9E" w:rsidRPr="00CD6379" w:rsidRDefault="00A93D9E" w:rsidP="00A93D9E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14:paraId="370EA87F" w14:textId="77777777" w:rsidR="00A93D9E" w:rsidRPr="004456FE" w:rsidRDefault="00A93D9E" w:rsidP="00A93D9E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/>
          <w:color w:val="000000"/>
        </w:rPr>
      </w:pPr>
      <w:r w:rsidRPr="00CD6379">
        <w:rPr>
          <w:rFonts w:ascii="Times New Roman" w:hAnsi="Times New Roman"/>
          <w:b/>
        </w:rPr>
        <w:t xml:space="preserve">Supplementary Figure 4 </w:t>
      </w:r>
      <w:r w:rsidRPr="00CD6379">
        <w:rPr>
          <w:rFonts w:ascii="Times New Roman" w:hAnsi="Times New Roman"/>
        </w:rPr>
        <w:t xml:space="preserve">(A-B) </w:t>
      </w:r>
      <w:r w:rsidRPr="00CD6379">
        <w:rPr>
          <w:rFonts w:ascii="Times New Roman" w:eastAsia="宋体" w:hAnsi="Times New Roman"/>
          <w:color w:val="000000"/>
        </w:rPr>
        <w:t>The expression of OAZ1 or CTGF were accessed in A549/CDDP and NCI-H460/CDDP cells after knockdown OAZ1 and CTGF by siRNA</w:t>
      </w:r>
      <w:r w:rsidRPr="00CD6379">
        <w:rPr>
          <w:rFonts w:ascii="Times New Roman" w:eastAsia="宋体" w:hAnsi="Times New Roman" w:hint="eastAsia"/>
          <w:color w:val="000000"/>
        </w:rPr>
        <w:t xml:space="preserve"> for 48 hours</w:t>
      </w:r>
      <w:r w:rsidRPr="00CD6379">
        <w:rPr>
          <w:rFonts w:ascii="Times New Roman" w:eastAsia="宋体" w:hAnsi="Times New Roman"/>
          <w:color w:val="000000"/>
        </w:rPr>
        <w:t xml:space="preserve">. </w:t>
      </w:r>
      <w:r w:rsidRPr="00CD6379">
        <w:rPr>
          <w:rFonts w:ascii="Times New Roman" w:hAnsi="Times New Roman"/>
        </w:rPr>
        <w:t>(</w:t>
      </w:r>
      <w:r w:rsidRPr="00CD6379">
        <w:rPr>
          <w:rFonts w:ascii="Times New Roman" w:hAnsi="Times New Roman" w:hint="eastAsia"/>
        </w:rPr>
        <w:t>C</w:t>
      </w:r>
      <w:r w:rsidRPr="00CD6379">
        <w:rPr>
          <w:rFonts w:ascii="Times New Roman" w:hAnsi="Times New Roman"/>
        </w:rPr>
        <w:t>) The prognosis significance of HDAC1 along with OAZ1 expression in NSCLCs according to according to data from the PROGgeneV2 database.</w:t>
      </w:r>
    </w:p>
    <w:p w14:paraId="4862E9AD" w14:textId="77777777" w:rsidR="00A93D9E" w:rsidRDefault="00A93D9E" w:rsidP="00A93D9E">
      <w:pPr>
        <w:spacing w:line="360" w:lineRule="auto"/>
        <w:rPr>
          <w:rFonts w:ascii="Times New Roman" w:eastAsia="宋体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</w:t>
      </w:r>
    </w:p>
    <w:p w14:paraId="15AB6E03" w14:textId="77777777" w:rsidR="00A93D9E" w:rsidRDefault="00A93D9E" w:rsidP="00A93D9E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</w:rPr>
      </w:pPr>
    </w:p>
    <w:p w14:paraId="6CA82C99" w14:textId="77777777" w:rsidR="00B91696" w:rsidRDefault="00A93D9E">
      <w:bookmarkStart w:id="0" w:name="_GoBack"/>
      <w:bookmarkEnd w:id="0"/>
    </w:p>
    <w:sectPr w:rsidR="00B91696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D9E"/>
    <w:rsid w:val="00010B45"/>
    <w:rsid w:val="00A93D9E"/>
    <w:rsid w:val="00E5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95DE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A93D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1869</Characters>
  <Application>Microsoft Macintosh Word</Application>
  <DocSecurity>0</DocSecurity>
  <Lines>15</Lines>
  <Paragraphs>4</Paragraphs>
  <ScaleCrop>false</ScaleCrop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2019-04-16T14:44:00Z</dcterms:created>
  <dcterms:modified xsi:type="dcterms:W3CDTF">2019-04-16T14:45:00Z</dcterms:modified>
</cp:coreProperties>
</file>