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F00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upplementary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igure legends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Supplementary Figure </w:t>
      </w: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>1. Induction of APIP under hypoxi</w:t>
      </w:r>
      <w:r w:rsidRPr="008C04D9">
        <w:rPr>
          <w:rFonts w:ascii="Times New Roman" w:hAnsi="Times New Roman" w:hint="eastAsia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8C04D9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) Temporal mode of </w:t>
      </w:r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>APIP and HIF1</w:t>
      </w:r>
      <w:r w:rsidRPr="008C04D9">
        <w:rPr>
          <w:rFonts w:ascii="Times New Roman" w:eastAsia="맑은 고딕" w:hAnsi="Times New Roman"/>
          <w:bCs/>
          <w:color w:val="000000" w:themeColor="text1"/>
          <w:sz w:val="24"/>
          <w:szCs w:val="24"/>
        </w:rPr>
        <w:t>α</w:t>
      </w:r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regulation under hypoxic condition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s</w:t>
      </w:r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>Cardiomyocytes</w:t>
      </w:r>
      <w:proofErr w:type="spellEnd"/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isolated from neonatal WT mice </w:t>
      </w:r>
      <w:r w:rsidRPr="008C04D9"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were </w:t>
      </w:r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exposed to </w:t>
      </w:r>
      <w:proofErr w:type="spellStart"/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>normoxic</w:t>
      </w:r>
      <w:proofErr w:type="spellEnd"/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(Nor) or hypoxic (Hypo) condition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s</w:t>
      </w:r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for the</w:t>
      </w:r>
      <w:r w:rsidRPr="008C04D9"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 w:rsidRPr="008C04D9">
        <w:rPr>
          <w:rFonts w:ascii="Times New Roman" w:hAnsi="Times New Roman"/>
          <w:bCs/>
          <w:color w:val="000000" w:themeColor="text1"/>
          <w:sz w:val="24"/>
          <w:szCs w:val="24"/>
        </w:rPr>
        <w:t>indicated times and analyzed by western blotting.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 w:hint="eastAsia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b</w:t>
      </w:r>
      <w:r w:rsidRPr="008C04D9">
        <w:rPr>
          <w:rFonts w:ascii="Times New Roman" w:hAnsi="Times New Roman"/>
          <w:sz w:val="24"/>
          <w:szCs w:val="24"/>
        </w:rPr>
        <w:t xml:space="preserve">) Increased levels of APIP protein and mRNA transcript in </w:t>
      </w:r>
      <w:proofErr w:type="spellStart"/>
      <w:r w:rsidRPr="00C951FF">
        <w:rPr>
          <w:rFonts w:ascii="Times New Roman" w:hAnsi="Times New Roman"/>
          <w:i/>
          <w:sz w:val="24"/>
          <w:szCs w:val="24"/>
        </w:rPr>
        <w:t>APIP</w:t>
      </w:r>
      <w:r w:rsidRPr="00C951FF">
        <w:rPr>
          <w:rFonts w:ascii="Times New Roman" w:hAnsi="Times New Roman"/>
          <w:i/>
          <w:sz w:val="24"/>
          <w:szCs w:val="24"/>
          <w:vertAlign w:val="superscript"/>
        </w:rPr>
        <w:t>Tg</w:t>
      </w:r>
      <w:proofErr w:type="spellEnd"/>
      <w:r w:rsidRPr="00C951FF">
        <w:rPr>
          <w:rFonts w:ascii="Times New Roman" w:hAnsi="Times New Roman"/>
          <w:i/>
          <w:sz w:val="24"/>
          <w:szCs w:val="24"/>
          <w:vertAlign w:val="superscript"/>
        </w:rPr>
        <w:t>/+</w:t>
      </w:r>
      <w:r w:rsidRPr="008C04D9">
        <w:rPr>
          <w:rFonts w:ascii="Times New Roman" w:hAnsi="Times New Roman"/>
          <w:sz w:val="24"/>
          <w:szCs w:val="24"/>
        </w:rPr>
        <w:t xml:space="preserve"> mice. Heart extracts from WT and </w:t>
      </w:r>
      <w:proofErr w:type="spellStart"/>
      <w:r w:rsidRPr="00C951FF">
        <w:rPr>
          <w:rFonts w:ascii="Times New Roman" w:hAnsi="Times New Roman"/>
          <w:i/>
          <w:sz w:val="24"/>
          <w:szCs w:val="24"/>
        </w:rPr>
        <w:t>APIP</w:t>
      </w:r>
      <w:r w:rsidRPr="00C951FF">
        <w:rPr>
          <w:rFonts w:ascii="Times New Roman" w:hAnsi="Times New Roman"/>
          <w:i/>
          <w:sz w:val="24"/>
          <w:szCs w:val="24"/>
          <w:vertAlign w:val="superscript"/>
        </w:rPr>
        <w:t>Tg</w:t>
      </w:r>
      <w:proofErr w:type="spellEnd"/>
      <w:r w:rsidRPr="00C951FF">
        <w:rPr>
          <w:rFonts w:ascii="Times New Roman" w:hAnsi="Times New Roman"/>
          <w:i/>
          <w:sz w:val="24"/>
          <w:szCs w:val="24"/>
          <w:vertAlign w:val="superscript"/>
        </w:rPr>
        <w:t>/+</w:t>
      </w:r>
      <w:r w:rsidRPr="008C04D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8C04D9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ice</w:t>
      </w:r>
      <w:r w:rsidRPr="008C04D9">
        <w:rPr>
          <w:rFonts w:ascii="Times New Roman" w:hAnsi="Times New Roman"/>
          <w:sz w:val="24"/>
          <w:szCs w:val="24"/>
        </w:rPr>
        <w:t xml:space="preserve"> (2</w:t>
      </w:r>
      <w:r>
        <w:rPr>
          <w:rFonts w:ascii="Times New Roman" w:hAnsi="Times New Roman"/>
          <w:sz w:val="24"/>
          <w:szCs w:val="24"/>
        </w:rPr>
        <w:t>-</w:t>
      </w:r>
      <w:r w:rsidRPr="008C04D9">
        <w:rPr>
          <w:rFonts w:ascii="Times New Roman" w:hAnsi="Times New Roman"/>
          <w:sz w:val="24"/>
          <w:szCs w:val="24"/>
        </w:rPr>
        <w:t>month-old) were examined by western blotting (</w:t>
      </w:r>
      <w:r w:rsidRPr="008C04D9">
        <w:rPr>
          <w:rFonts w:ascii="Times New Roman" w:hAnsi="Times New Roman"/>
          <w:i/>
          <w:sz w:val="24"/>
          <w:szCs w:val="24"/>
        </w:rPr>
        <w:t>upper</w:t>
      </w:r>
      <w:r w:rsidRPr="008C04D9">
        <w:rPr>
          <w:rFonts w:ascii="Times New Roman" w:hAnsi="Times New Roman"/>
          <w:sz w:val="24"/>
          <w:szCs w:val="24"/>
        </w:rPr>
        <w:t xml:space="preserve">) and </w:t>
      </w:r>
      <w:r>
        <w:rPr>
          <w:rFonts w:ascii="Times New Roman" w:hAnsi="Times New Roman"/>
          <w:sz w:val="24"/>
          <w:szCs w:val="24"/>
        </w:rPr>
        <w:t xml:space="preserve">real-time </w:t>
      </w:r>
      <w:r w:rsidRPr="008C04D9">
        <w:rPr>
          <w:rFonts w:ascii="Times New Roman" w:hAnsi="Times New Roman"/>
          <w:sz w:val="24"/>
          <w:szCs w:val="24"/>
        </w:rPr>
        <w:t>RT-PCR analysis (</w:t>
      </w:r>
      <w:r w:rsidRPr="008C04D9">
        <w:rPr>
          <w:rFonts w:ascii="Times New Roman" w:hAnsi="Times New Roman"/>
          <w:i/>
          <w:sz w:val="24"/>
          <w:szCs w:val="24"/>
        </w:rPr>
        <w:t>lower</w:t>
      </w:r>
      <w:r w:rsidRPr="008C04D9">
        <w:rPr>
          <w:rFonts w:ascii="Times New Roman" w:hAnsi="Times New Roman"/>
          <w:sz w:val="24"/>
          <w:szCs w:val="24"/>
        </w:rPr>
        <w:t>).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c</w:t>
      </w:r>
      <w:r w:rsidRPr="008C04D9">
        <w:rPr>
          <w:rFonts w:ascii="Times New Roman" w:hAnsi="Times New Roman"/>
          <w:sz w:val="24"/>
          <w:szCs w:val="24"/>
        </w:rPr>
        <w:t xml:space="preserve">) Histochemical analysis of paraffin-sections of the hearts from WT and </w:t>
      </w:r>
      <w:proofErr w:type="spellStart"/>
      <w:r w:rsidRPr="00C951FF">
        <w:rPr>
          <w:rFonts w:ascii="Times New Roman" w:hAnsi="Times New Roman"/>
          <w:i/>
          <w:sz w:val="24"/>
          <w:szCs w:val="24"/>
        </w:rPr>
        <w:t>APIP</w:t>
      </w:r>
      <w:r w:rsidRPr="00C951FF">
        <w:rPr>
          <w:rFonts w:ascii="Times New Roman" w:hAnsi="Times New Roman"/>
          <w:i/>
          <w:sz w:val="24"/>
          <w:szCs w:val="24"/>
          <w:vertAlign w:val="superscript"/>
        </w:rPr>
        <w:t>Tg</w:t>
      </w:r>
      <w:proofErr w:type="spellEnd"/>
      <w:r w:rsidRPr="00C951FF">
        <w:rPr>
          <w:rFonts w:ascii="Times New Roman" w:hAnsi="Times New Roman"/>
          <w:i/>
          <w:sz w:val="24"/>
          <w:szCs w:val="24"/>
          <w:vertAlign w:val="superscript"/>
        </w:rPr>
        <w:t>/+</w:t>
      </w:r>
      <w:r w:rsidRPr="008C04D9">
        <w:rPr>
          <w:rFonts w:ascii="Times New Roman" w:hAnsi="Times New Roman"/>
          <w:sz w:val="24"/>
          <w:szCs w:val="24"/>
        </w:rPr>
        <w:t xml:space="preserve"> mice. Representative images from </w:t>
      </w:r>
      <w:proofErr w:type="spellStart"/>
      <w:r w:rsidRPr="008C04D9">
        <w:rPr>
          <w:rFonts w:ascii="Times New Roman" w:hAnsi="Times New Roman"/>
          <w:sz w:val="24"/>
          <w:szCs w:val="24"/>
        </w:rPr>
        <w:t>immunohistochemical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analysis using APIP antibody were prepared with the heart section of WT and </w:t>
      </w:r>
      <w:proofErr w:type="spellStart"/>
      <w:r w:rsidRPr="00C951FF">
        <w:rPr>
          <w:rFonts w:ascii="Times New Roman" w:hAnsi="Times New Roman"/>
          <w:i/>
          <w:sz w:val="24"/>
          <w:szCs w:val="24"/>
        </w:rPr>
        <w:t>APIP</w:t>
      </w:r>
      <w:r w:rsidRPr="00C951FF">
        <w:rPr>
          <w:rFonts w:ascii="Times New Roman" w:hAnsi="Times New Roman"/>
          <w:i/>
          <w:sz w:val="24"/>
          <w:szCs w:val="24"/>
          <w:vertAlign w:val="superscript"/>
        </w:rPr>
        <w:t>Tg</w:t>
      </w:r>
      <w:proofErr w:type="spellEnd"/>
      <w:r w:rsidRPr="00C951FF">
        <w:rPr>
          <w:rFonts w:ascii="Times New Roman" w:hAnsi="Times New Roman"/>
          <w:i/>
          <w:sz w:val="24"/>
          <w:szCs w:val="24"/>
          <w:vertAlign w:val="superscript"/>
        </w:rPr>
        <w:t>/+</w:t>
      </w:r>
      <w:r w:rsidRPr="008C04D9">
        <w:rPr>
          <w:rFonts w:ascii="Times New Roman" w:hAnsi="Times New Roman"/>
          <w:sz w:val="24"/>
          <w:szCs w:val="24"/>
        </w:rPr>
        <w:t xml:space="preserve"> mice (4</w:t>
      </w:r>
      <w:r>
        <w:rPr>
          <w:rFonts w:ascii="Times New Roman" w:hAnsi="Times New Roman"/>
          <w:sz w:val="24"/>
          <w:szCs w:val="24"/>
        </w:rPr>
        <w:t>-</w:t>
      </w:r>
      <w:r w:rsidRPr="008C04D9">
        <w:rPr>
          <w:rFonts w:ascii="Times New Roman" w:hAnsi="Times New Roman"/>
          <w:sz w:val="24"/>
          <w:szCs w:val="24"/>
        </w:rPr>
        <w:t>month-old).</w:t>
      </w:r>
    </w:p>
    <w:p w:rsidR="003A7F00" w:rsidRPr="005E31EA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A7F00" w:rsidRPr="005E31EA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 xml:space="preserve">Supplementary Figure 2. Knockdown of APIP by </w:t>
      </w:r>
      <w:proofErr w:type="spellStart"/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>shRNA</w:t>
      </w:r>
      <w:proofErr w:type="spellEnd"/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in H9c2 cells.</w:t>
      </w:r>
    </w:p>
    <w:p w:rsidR="003A7F00" w:rsidRPr="005E31EA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H9c2 cells were transfected with </w:t>
      </w:r>
      <w:proofErr w:type="spellStart"/>
      <w:r w:rsidRPr="005E31EA">
        <w:rPr>
          <w:rFonts w:ascii="Times New Roman" w:hAnsi="Times New Roman"/>
          <w:color w:val="000000" w:themeColor="text1"/>
          <w:sz w:val="24"/>
          <w:szCs w:val="24"/>
        </w:rPr>
        <w:t>pSUPER</w:t>
      </w:r>
      <w:proofErr w:type="spellEnd"/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-neo (Mock) or </w:t>
      </w:r>
      <w:proofErr w:type="spellStart"/>
      <w:r w:rsidRPr="005E31EA">
        <w:rPr>
          <w:rFonts w:ascii="Times New Roman" w:hAnsi="Times New Roman"/>
          <w:i/>
          <w:color w:val="000000" w:themeColor="text1"/>
          <w:sz w:val="24"/>
          <w:szCs w:val="24"/>
        </w:rPr>
        <w:t>Apip</w:t>
      </w:r>
      <w:proofErr w:type="spellEnd"/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E31EA">
        <w:rPr>
          <w:rFonts w:ascii="Times New Roman" w:hAnsi="Times New Roman"/>
          <w:color w:val="000000" w:themeColor="text1"/>
          <w:sz w:val="24"/>
          <w:szCs w:val="24"/>
        </w:rPr>
        <w:t>shRNAs</w:t>
      </w:r>
      <w:proofErr w:type="spellEnd"/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5E31EA">
        <w:rPr>
          <w:rFonts w:ascii="Times New Roman" w:hAnsi="Times New Roman"/>
          <w:color w:val="000000" w:themeColor="text1"/>
          <w:sz w:val="24"/>
          <w:szCs w:val="24"/>
        </w:rPr>
        <w:t>sh</w:t>
      </w:r>
      <w:r w:rsidRPr="005E31EA">
        <w:rPr>
          <w:rFonts w:ascii="Times New Roman" w:hAnsi="Times New Roman"/>
          <w:i/>
          <w:color w:val="000000" w:themeColor="text1"/>
          <w:sz w:val="24"/>
          <w:szCs w:val="24"/>
        </w:rPr>
        <w:t>Apip</w:t>
      </w:r>
      <w:proofErr w:type="spellEnd"/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#1 and </w:t>
      </w:r>
      <w:proofErr w:type="spellStart"/>
      <w:r w:rsidRPr="005E31EA">
        <w:rPr>
          <w:rFonts w:ascii="Times New Roman" w:hAnsi="Times New Roman"/>
          <w:color w:val="000000" w:themeColor="text1"/>
          <w:sz w:val="24"/>
          <w:szCs w:val="24"/>
        </w:rPr>
        <w:t>sh</w:t>
      </w:r>
      <w:r w:rsidRPr="005E31EA">
        <w:rPr>
          <w:rFonts w:ascii="Times New Roman" w:hAnsi="Times New Roman"/>
          <w:i/>
          <w:color w:val="000000" w:themeColor="text1"/>
          <w:sz w:val="24"/>
          <w:szCs w:val="24"/>
        </w:rPr>
        <w:t>Apip</w:t>
      </w:r>
      <w:proofErr w:type="spellEnd"/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#2) for 24 h and total RNAs were analyzed by real-time RT-PCR analysis (</w:t>
      </w:r>
      <w:r w:rsidRPr="005E31EA">
        <w:rPr>
          <w:rFonts w:ascii="Times New Roman" w:eastAsia="맑은 고딕" w:hAnsi="Times New Roman"/>
          <w:i/>
          <w:color w:val="000000" w:themeColor="text1"/>
          <w:sz w:val="24"/>
          <w:szCs w:val="24"/>
        </w:rPr>
        <w:t xml:space="preserve">n </w:t>
      </w:r>
      <w:r w:rsidRPr="005E31EA">
        <w:rPr>
          <w:rFonts w:ascii="Times New Roman" w:eastAsia="맑은 고딕" w:hAnsi="Times New Roman"/>
          <w:color w:val="000000" w:themeColor="text1"/>
          <w:sz w:val="24"/>
          <w:szCs w:val="24"/>
        </w:rPr>
        <w:t xml:space="preserve">= 4, 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>**</w:t>
      </w:r>
      <w:r w:rsidRPr="005E31EA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E31EA">
        <w:rPr>
          <w:rFonts w:ascii="Times New Roman" w:hAnsi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&lt; 0.01, 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>*</w:t>
      </w:r>
      <w:r w:rsidRPr="005E31EA"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E31EA">
        <w:rPr>
          <w:rFonts w:ascii="Times New Roman" w:hAnsi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&lt; 0.05, </w:t>
      </w:r>
      <w:r w:rsidRPr="005E31EA">
        <w:rPr>
          <w:rFonts w:ascii="Times New Roman" w:eastAsia="맑은 고딕" w:hAnsi="Times New Roman"/>
          <w:color w:val="000000" w:themeColor="text1"/>
          <w:sz w:val="24"/>
          <w:szCs w:val="24"/>
        </w:rPr>
        <w:t xml:space="preserve">one-tailed </w:t>
      </w:r>
      <w:r w:rsidRPr="005E31EA">
        <w:rPr>
          <w:rFonts w:ascii="Times New Roman" w:eastAsia="맑은 고딕" w:hAnsi="Times New Roman"/>
          <w:i/>
          <w:color w:val="000000" w:themeColor="text1"/>
          <w:sz w:val="24"/>
          <w:szCs w:val="24"/>
        </w:rPr>
        <w:t>t</w:t>
      </w:r>
      <w:r w:rsidRPr="005E31EA">
        <w:rPr>
          <w:rFonts w:ascii="Times New Roman" w:eastAsia="맑은 고딕" w:hAnsi="Times New Roman"/>
          <w:color w:val="000000" w:themeColor="text1"/>
          <w:sz w:val="24"/>
          <w:szCs w:val="24"/>
        </w:rPr>
        <w:t xml:space="preserve"> test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3A7F00" w:rsidRPr="005E31EA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A7F00" w:rsidRPr="005E31EA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 xml:space="preserve">Supplementary Figure 3. </w:t>
      </w:r>
      <w:r w:rsidRPr="005E31EA">
        <w:rPr>
          <w:rFonts w:ascii="Times New Roman" w:hAnsi="Times New Roman"/>
          <w:b/>
          <w:i/>
          <w:color w:val="000000" w:themeColor="text1"/>
          <w:sz w:val="24"/>
          <w:szCs w:val="24"/>
        </w:rPr>
        <w:t>In situ</w:t>
      </w: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PLA assay for endogenous APIP-ADORA2B interaction.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3A7F00" w:rsidRPr="005E31EA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31EA"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gramStart"/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proofErr w:type="gramEnd"/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>b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) Intracellular localization of APIP and ADORA2B in the </w:t>
      </w:r>
      <w:proofErr w:type="spellStart"/>
      <w:r w:rsidRPr="005E31EA">
        <w:rPr>
          <w:rFonts w:ascii="Times New Roman" w:hAnsi="Times New Roman"/>
          <w:color w:val="000000" w:themeColor="text1"/>
          <w:sz w:val="24"/>
          <w:szCs w:val="24"/>
        </w:rPr>
        <w:t>Duolink</w:t>
      </w:r>
      <w:proofErr w:type="spellEnd"/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® </w:t>
      </w:r>
      <w:r w:rsidRPr="005E31EA">
        <w:rPr>
          <w:rFonts w:ascii="Times New Roman" w:hAnsi="Times New Roman"/>
          <w:i/>
          <w:iCs/>
          <w:color w:val="000000" w:themeColor="text1"/>
          <w:sz w:val="24"/>
          <w:szCs w:val="24"/>
        </w:rPr>
        <w:t>in situ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PLA assay in HeLa cells. Each red dot represents a single protein–protein interaction. Nuclei were stained with DAPI (blue) and representative confocal images are shown. Scale bars, 20 µm (a). Quantification of APIP/ADORA2B PLA signals in HeLa/Mock and HeLa/</w:t>
      </w:r>
      <w:proofErr w:type="spellStart"/>
      <w:r w:rsidRPr="005E31EA">
        <w:rPr>
          <w:rFonts w:ascii="Times New Roman" w:hAnsi="Times New Roman"/>
          <w:color w:val="000000" w:themeColor="text1"/>
          <w:sz w:val="24"/>
          <w:szCs w:val="24"/>
        </w:rPr>
        <w:t>shAPIP</w:t>
      </w:r>
      <w:proofErr w:type="spellEnd"/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cells. The 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lastRenderedPageBreak/>
        <w:t>dot plot represents the number of PLA dots per cell (b).</w:t>
      </w:r>
    </w:p>
    <w:p w:rsidR="003A7F00" w:rsidRPr="00320B19" w:rsidRDefault="003A7F00" w:rsidP="003A7F00">
      <w:pPr>
        <w:spacing w:line="48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3A7F00" w:rsidRPr="00297DDB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>Supplementa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ry</w:t>
      </w: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Figure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>. Mapping of APIP domain interacting with ADORA2B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 w:hint="eastAsia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a</w:t>
      </w:r>
      <w:r w:rsidRPr="008C04D9">
        <w:rPr>
          <w:rFonts w:ascii="Times New Roman" w:hAnsi="Times New Roman" w:hint="eastAsia"/>
          <w:sz w:val="24"/>
          <w:szCs w:val="24"/>
        </w:rPr>
        <w:t>)</w:t>
      </w:r>
      <w:r w:rsidRPr="008C04D9">
        <w:rPr>
          <w:rFonts w:ascii="Times New Roman" w:hAnsi="Times New Roman"/>
          <w:sz w:val="24"/>
          <w:szCs w:val="24"/>
        </w:rPr>
        <w:t xml:space="preserve"> Interaction between APIP and ADORA2B or ADORA3. HEK293T cells were transfected with FLAG-APIP and ADORA1, ADORA2A, ADORA2B</w:t>
      </w:r>
      <w:r>
        <w:rPr>
          <w:rFonts w:ascii="Times New Roman" w:hAnsi="Times New Roman"/>
          <w:sz w:val="24"/>
          <w:szCs w:val="24"/>
        </w:rPr>
        <w:t>,</w:t>
      </w:r>
      <w:r w:rsidRPr="008C04D9">
        <w:rPr>
          <w:rFonts w:ascii="Times New Roman" w:hAnsi="Times New Roman"/>
          <w:sz w:val="24"/>
          <w:szCs w:val="24"/>
        </w:rPr>
        <w:t xml:space="preserve"> or ADORA3 for 24 h and analyzed by immunoprecipitation (IP) assays using HA antibody.</w:t>
      </w:r>
    </w:p>
    <w:p w:rsidR="003A7F00" w:rsidRPr="005E31EA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C04D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b</w:t>
      </w:r>
      <w:r w:rsidRPr="008C04D9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b/>
          <w:sz w:val="24"/>
          <w:szCs w:val="24"/>
        </w:rPr>
        <w:t>c</w:t>
      </w:r>
      <w:r w:rsidRPr="008C04D9">
        <w:rPr>
          <w:rFonts w:ascii="Times New Roman" w:hAnsi="Times New Roman"/>
          <w:sz w:val="24"/>
          <w:szCs w:val="24"/>
        </w:rPr>
        <w:t>) Involvement of APIP N-terminal region in the binding to ADORA2B. HEK293T cells were transfected with ADORA2B-HA and APIP, FLAG-APIPΔN60, FLAG-APIPΔC62</w:t>
      </w:r>
      <w:r>
        <w:rPr>
          <w:rFonts w:ascii="Times New Roman" w:hAnsi="Times New Roman"/>
          <w:sz w:val="24"/>
          <w:szCs w:val="24"/>
        </w:rPr>
        <w:t>,</w:t>
      </w:r>
      <w:r w:rsidRPr="008C04D9">
        <w:rPr>
          <w:rFonts w:ascii="Times New Roman" w:hAnsi="Times New Roman"/>
          <w:sz w:val="24"/>
          <w:szCs w:val="24"/>
        </w:rPr>
        <w:t xml:space="preserve"> or FLAG-APIPΔ123-180 </w:t>
      </w:r>
      <w:r>
        <w:rPr>
          <w:rFonts w:ascii="Times New Roman" w:hAnsi="Times New Roman"/>
          <w:sz w:val="24"/>
          <w:szCs w:val="24"/>
        </w:rPr>
        <w:t>(b) or APIP, FLAG-APIPΔN20, FLAG-APIP</w:t>
      </w:r>
      <w:r w:rsidRPr="00E643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ΔN40,</w:t>
      </w:r>
      <w:r w:rsidRPr="008C04D9">
        <w:rPr>
          <w:rFonts w:ascii="Times New Roman" w:hAnsi="Times New Roman"/>
          <w:sz w:val="24"/>
          <w:szCs w:val="24"/>
        </w:rPr>
        <w:t xml:space="preserve"> FLAG-APIP</w:t>
      </w:r>
      <w:r>
        <w:rPr>
          <w:rFonts w:ascii="Times New Roman" w:hAnsi="Times New Roman"/>
          <w:sz w:val="24"/>
          <w:szCs w:val="24"/>
        </w:rPr>
        <w:t xml:space="preserve">-ΔN50, or </w:t>
      </w:r>
      <w:r w:rsidRPr="008C04D9">
        <w:rPr>
          <w:rFonts w:ascii="Times New Roman" w:hAnsi="Times New Roman"/>
          <w:sz w:val="24"/>
          <w:szCs w:val="24"/>
        </w:rPr>
        <w:t>FLAG-APIP</w:t>
      </w:r>
      <w:r>
        <w:rPr>
          <w:rFonts w:ascii="Times New Roman" w:hAnsi="Times New Roman"/>
          <w:sz w:val="24"/>
          <w:szCs w:val="24"/>
        </w:rPr>
        <w:t xml:space="preserve">-ΔN60 (c) </w:t>
      </w:r>
      <w:r w:rsidRPr="008C04D9">
        <w:rPr>
          <w:rFonts w:ascii="Times New Roman" w:hAnsi="Times New Roman"/>
          <w:sz w:val="24"/>
          <w:szCs w:val="24"/>
        </w:rPr>
        <w:t xml:space="preserve">for 24 h and analyzed by immunoprecipitation (IP) assays 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>using HA antibody.</w:t>
      </w:r>
    </w:p>
    <w:p w:rsidR="003A7F00" w:rsidRPr="005E31EA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31E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>d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5E31E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Schematic representation of APIP and its deletion mutants. The binding activities of APIP WT and mutants to ADORA2B are summarized based on the results in 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>Supplementary Figure</w:t>
      </w:r>
      <w:r w:rsidRPr="005E31E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3b and c.</w:t>
      </w:r>
    </w:p>
    <w:p w:rsidR="003A7F00" w:rsidRPr="005E31EA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31E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) Involvement of the N-terminal </w:t>
      </w:r>
      <w:r w:rsidRPr="005E31EA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44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>Thr-Gly-Gly</w:t>
      </w:r>
      <w:r w:rsidRPr="005E31EA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46</w:t>
      </w:r>
      <w:r w:rsidRPr="005E31EA">
        <w:rPr>
          <w:rFonts w:ascii="Times New Roman" w:hAnsi="Times New Roman"/>
          <w:color w:val="000000" w:themeColor="text1"/>
          <w:sz w:val="24"/>
          <w:szCs w:val="24"/>
        </w:rPr>
        <w:t xml:space="preserve"> motif of APIP in the binding to ADORA2B. HEK293T cells were transfected with ADORA2B-HA and FLAG-APIP, FLAG-APIP T44A/G45A, or FLAG-APIP T44A/G45A/G46A for 24 h and analyzed by immunoprecipitation (IP) assays using Anti-FLAG M2 Affinity gel. </w:t>
      </w:r>
    </w:p>
    <w:p w:rsidR="003A7F00" w:rsidRPr="007B0E71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A7F00" w:rsidRPr="008C04D9" w:rsidRDefault="003A7F00" w:rsidP="003A7F00">
      <w:pPr>
        <w:pStyle w:val="HTML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8C04D9">
        <w:rPr>
          <w:rFonts w:ascii="Times New Roman" w:hAnsi="Times New Roman" w:cs="Times New Roman"/>
          <w:b/>
          <w:color w:val="000000" w:themeColor="text1"/>
        </w:rPr>
        <w:t>Supplementa</w:t>
      </w:r>
      <w:r>
        <w:rPr>
          <w:rFonts w:ascii="Times New Roman" w:hAnsi="Times New Roman" w:cs="Times New Roman"/>
          <w:b/>
          <w:color w:val="000000" w:themeColor="text1"/>
        </w:rPr>
        <w:t>ry Figure 5</w:t>
      </w:r>
      <w:r w:rsidRPr="008C04D9">
        <w:rPr>
          <w:rFonts w:ascii="Times New Roman" w:hAnsi="Times New Roman" w:cs="Times New Roman"/>
          <w:b/>
          <w:color w:val="000000" w:themeColor="text1"/>
        </w:rPr>
        <w:t>. ADORA2B regulate</w:t>
      </w:r>
      <w:r>
        <w:rPr>
          <w:rFonts w:ascii="Times New Roman" w:hAnsi="Times New Roman" w:cs="Times New Roman"/>
          <w:b/>
          <w:color w:val="000000" w:themeColor="text1"/>
        </w:rPr>
        <w:t>s</w:t>
      </w:r>
      <w:r w:rsidRPr="008C04D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6A4FA5">
        <w:rPr>
          <w:rFonts w:ascii="Times New Roman" w:hAnsi="Times New Roman"/>
          <w:b/>
        </w:rPr>
        <w:t>APIP</w:t>
      </w:r>
      <w:r>
        <w:rPr>
          <w:rFonts w:ascii="Times New Roman" w:hAnsi="Times New Roman"/>
          <w:b/>
        </w:rPr>
        <w:t xml:space="preserve"> level</w:t>
      </w:r>
      <w:r>
        <w:rPr>
          <w:rFonts w:ascii="Times New Roman" w:hAnsi="Times New Roman"/>
        </w:rPr>
        <w:t>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 w:hint="eastAsia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Pr="008C04D9">
        <w:rPr>
          <w:rFonts w:ascii="Times New Roman" w:hAnsi="Times New Roman" w:hint="eastAsia"/>
          <w:color w:val="000000" w:themeColor="text1"/>
          <w:sz w:val="24"/>
          <w:szCs w:val="24"/>
        </w:rPr>
        <w:t>)</w:t>
      </w:r>
      <w:r w:rsidRPr="008C04D9">
        <w:rPr>
          <w:rFonts w:ascii="Times New Roman" w:hAnsi="Times New Roman"/>
          <w:sz w:val="24"/>
          <w:szCs w:val="24"/>
        </w:rPr>
        <w:t xml:space="preserve"> ADORA2B </w:t>
      </w:r>
      <w:r>
        <w:rPr>
          <w:rFonts w:ascii="Times New Roman" w:hAnsi="Times New Roman"/>
          <w:sz w:val="24"/>
          <w:szCs w:val="24"/>
        </w:rPr>
        <w:t>knockdown</w:t>
      </w:r>
      <w:r w:rsidRPr="008C04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decreases</w:t>
      </w:r>
      <w:r w:rsidRPr="008C04D9">
        <w:rPr>
          <w:rFonts w:ascii="Times New Roman" w:hAnsi="Times New Roman"/>
          <w:sz w:val="24"/>
          <w:szCs w:val="24"/>
        </w:rPr>
        <w:t xml:space="preserve"> APIP </w:t>
      </w:r>
      <w:r>
        <w:rPr>
          <w:rFonts w:ascii="Times New Roman" w:hAnsi="Times New Roman"/>
          <w:sz w:val="24"/>
          <w:szCs w:val="24"/>
        </w:rPr>
        <w:t>level</w:t>
      </w:r>
      <w:r w:rsidRPr="008C04D9">
        <w:rPr>
          <w:rFonts w:ascii="Times New Roman" w:hAnsi="Times New Roman"/>
          <w:sz w:val="24"/>
          <w:szCs w:val="24"/>
        </w:rPr>
        <w:t xml:space="preserve"> under hypoxia. HeLa cells were transfected with </w:t>
      </w:r>
      <w:proofErr w:type="spellStart"/>
      <w:r w:rsidRPr="008C04D9">
        <w:rPr>
          <w:rFonts w:ascii="Times New Roman" w:hAnsi="Times New Roman"/>
          <w:sz w:val="24"/>
          <w:szCs w:val="24"/>
        </w:rPr>
        <w:t>pSUPER</w:t>
      </w:r>
      <w:proofErr w:type="spellEnd"/>
      <w:r w:rsidRPr="008C04D9">
        <w:rPr>
          <w:rFonts w:ascii="Times New Roman" w:hAnsi="Times New Roman"/>
          <w:sz w:val="24"/>
          <w:szCs w:val="24"/>
        </w:rPr>
        <w:t>-neo or sh</w:t>
      </w:r>
      <w:r w:rsidRPr="008C04D9">
        <w:rPr>
          <w:rFonts w:ascii="Times New Roman" w:hAnsi="Times New Roman"/>
          <w:i/>
          <w:sz w:val="24"/>
          <w:szCs w:val="24"/>
        </w:rPr>
        <w:t>ADORA2B</w:t>
      </w:r>
      <w:r w:rsidRPr="008C04D9">
        <w:rPr>
          <w:rFonts w:ascii="Times New Roman" w:hAnsi="Times New Roman"/>
          <w:sz w:val="24"/>
          <w:szCs w:val="24"/>
        </w:rPr>
        <w:t xml:space="preserve"> (sh</w:t>
      </w:r>
      <w:r w:rsidRPr="008C04D9">
        <w:rPr>
          <w:rFonts w:ascii="Times New Roman" w:hAnsi="Times New Roman"/>
          <w:i/>
          <w:sz w:val="24"/>
          <w:szCs w:val="24"/>
        </w:rPr>
        <w:t>A2B</w:t>
      </w:r>
      <w:r w:rsidRPr="008C04D9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for 24 h and incubated under</w:t>
      </w:r>
      <w:r w:rsidRPr="008C04D9">
        <w:rPr>
          <w:rFonts w:ascii="Times New Roman" w:hAnsi="Times New Roman"/>
          <w:sz w:val="24"/>
          <w:szCs w:val="24"/>
        </w:rPr>
        <w:t xml:space="preserve"> hypoxic condition</w:t>
      </w:r>
      <w:r>
        <w:rPr>
          <w:rFonts w:ascii="Times New Roman" w:hAnsi="Times New Roman"/>
          <w:sz w:val="24"/>
          <w:szCs w:val="24"/>
        </w:rPr>
        <w:t>s</w:t>
      </w:r>
      <w:r w:rsidRPr="008C04D9">
        <w:rPr>
          <w:rFonts w:ascii="Times New Roman" w:hAnsi="Times New Roman"/>
          <w:sz w:val="24"/>
          <w:szCs w:val="24"/>
        </w:rPr>
        <w:t xml:space="preserve"> </w:t>
      </w:r>
      <w:r w:rsidRPr="008C04D9">
        <w:rPr>
          <w:rFonts w:ascii="Times New Roman" w:hAnsi="Times New Roman"/>
          <w:sz w:val="24"/>
          <w:szCs w:val="24"/>
        </w:rPr>
        <w:lastRenderedPageBreak/>
        <w:t xml:space="preserve">for 10 h. </w:t>
      </w:r>
    </w:p>
    <w:p w:rsidR="003A7F00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b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8C04D9">
        <w:rPr>
          <w:rFonts w:ascii="Times New Roman" w:hAnsi="Times New Roman"/>
          <w:sz w:val="24"/>
          <w:szCs w:val="24"/>
        </w:rPr>
        <w:t xml:space="preserve"> Elevation of APIP level by ADORA2B agonist in primary </w:t>
      </w:r>
      <w:proofErr w:type="spellStart"/>
      <w:r w:rsidRPr="008C04D9">
        <w:rPr>
          <w:rFonts w:ascii="Times New Roman" w:hAnsi="Times New Roman"/>
          <w:sz w:val="24"/>
          <w:szCs w:val="24"/>
        </w:rPr>
        <w:t>cardiomyocytes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. Cultured </w:t>
      </w:r>
      <w:proofErr w:type="spellStart"/>
      <w:r w:rsidRPr="008C04D9">
        <w:rPr>
          <w:rFonts w:ascii="Times New Roman" w:hAnsi="Times New Roman"/>
          <w:sz w:val="24"/>
          <w:szCs w:val="24"/>
        </w:rPr>
        <w:t>cardiomyocytes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were incubated with serum-free medium for 24 h, treated with the indicated concentrations of BAY60-6583 for 10 min</w:t>
      </w:r>
      <w:r>
        <w:rPr>
          <w:rFonts w:ascii="Times New Roman" w:hAnsi="Times New Roman"/>
          <w:sz w:val="24"/>
          <w:szCs w:val="24"/>
        </w:rPr>
        <w:t>,</w:t>
      </w:r>
      <w:r w:rsidRPr="008C04D9">
        <w:rPr>
          <w:rFonts w:ascii="Times New Roman" w:hAnsi="Times New Roman"/>
          <w:sz w:val="24"/>
          <w:szCs w:val="24"/>
        </w:rPr>
        <w:t xml:space="preserve"> and analyzed by western blotting. 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8C04D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c</w:t>
      </w:r>
      <w:r w:rsidRPr="008C04D9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b/>
          <w:sz w:val="24"/>
          <w:szCs w:val="24"/>
        </w:rPr>
        <w:t>d</w:t>
      </w:r>
      <w:r w:rsidRPr="008C04D9">
        <w:rPr>
          <w:rFonts w:ascii="Times New Roman" w:hAnsi="Times New Roman"/>
          <w:sz w:val="24"/>
          <w:szCs w:val="24"/>
        </w:rPr>
        <w:t xml:space="preserve">) Crucial role of APIP </w:t>
      </w:r>
      <w:r>
        <w:rPr>
          <w:rFonts w:ascii="Times New Roman" w:hAnsi="Times New Roman"/>
          <w:sz w:val="24"/>
          <w:szCs w:val="24"/>
        </w:rPr>
        <w:t>in</w:t>
      </w:r>
      <w:r w:rsidRPr="008C04D9">
        <w:rPr>
          <w:rFonts w:ascii="Times New Roman" w:hAnsi="Times New Roman"/>
          <w:sz w:val="24"/>
          <w:szCs w:val="24"/>
        </w:rPr>
        <w:t xml:space="preserve"> ADORA2B-mediated HIF1α stabilization and </w:t>
      </w:r>
      <w:proofErr w:type="spellStart"/>
      <w:r w:rsidRPr="008C04D9">
        <w:rPr>
          <w:rFonts w:ascii="Times New Roman" w:hAnsi="Times New Roman"/>
          <w:sz w:val="24"/>
          <w:szCs w:val="24"/>
        </w:rPr>
        <w:t>cytoprotection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against hypoxic stress. HeLa cells were transfected with ADORA2B, </w:t>
      </w:r>
      <w:proofErr w:type="spellStart"/>
      <w:r w:rsidRPr="008C04D9">
        <w:rPr>
          <w:rFonts w:ascii="Times New Roman" w:hAnsi="Times New Roman"/>
          <w:i/>
          <w:sz w:val="24"/>
          <w:szCs w:val="24"/>
        </w:rPr>
        <w:t>Apip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4D9">
        <w:rPr>
          <w:rFonts w:ascii="Times New Roman" w:hAnsi="Times New Roman"/>
          <w:sz w:val="24"/>
          <w:szCs w:val="24"/>
        </w:rPr>
        <w:t>shRNA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or both ADORA2B and </w:t>
      </w:r>
      <w:r w:rsidRPr="008C04D9">
        <w:rPr>
          <w:rFonts w:ascii="Times New Roman" w:hAnsi="Times New Roman"/>
          <w:i/>
          <w:sz w:val="24"/>
          <w:szCs w:val="24"/>
        </w:rPr>
        <w:t>APIP</w:t>
      </w:r>
      <w:r w:rsidRPr="008C04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4D9">
        <w:rPr>
          <w:rFonts w:ascii="Times New Roman" w:hAnsi="Times New Roman"/>
          <w:sz w:val="24"/>
          <w:szCs w:val="24"/>
        </w:rPr>
        <w:t>shRNA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for 24 h, and incubated under the hypoxic condition for 6 h (</w:t>
      </w:r>
      <w:r>
        <w:rPr>
          <w:rFonts w:ascii="Times New Roman" w:hAnsi="Times New Roman"/>
          <w:sz w:val="24"/>
          <w:szCs w:val="24"/>
        </w:rPr>
        <w:t>c</w:t>
      </w:r>
      <w:r w:rsidRPr="008C04D9">
        <w:rPr>
          <w:rFonts w:ascii="Times New Roman" w:hAnsi="Times New Roman"/>
          <w:sz w:val="24"/>
          <w:szCs w:val="24"/>
        </w:rPr>
        <w:t>) and 36 h (</w:t>
      </w:r>
      <w:r>
        <w:rPr>
          <w:rFonts w:ascii="Times New Roman" w:hAnsi="Times New Roman"/>
          <w:sz w:val="24"/>
          <w:szCs w:val="24"/>
        </w:rPr>
        <w:t>d</w:t>
      </w:r>
      <w:r w:rsidRPr="008C04D9">
        <w:rPr>
          <w:rFonts w:ascii="Times New Roman" w:hAnsi="Times New Roman"/>
          <w:sz w:val="24"/>
          <w:szCs w:val="24"/>
        </w:rPr>
        <w:t>). Cell lysates were examined by western blotting (</w:t>
      </w:r>
      <w:r>
        <w:rPr>
          <w:rFonts w:ascii="Times New Roman" w:hAnsi="Times New Roman"/>
          <w:sz w:val="24"/>
          <w:szCs w:val="24"/>
        </w:rPr>
        <w:t>c</w:t>
      </w:r>
      <w:r w:rsidRPr="008C04D9">
        <w:rPr>
          <w:rFonts w:ascii="Times New Roman" w:hAnsi="Times New Roman"/>
          <w:sz w:val="24"/>
          <w:szCs w:val="24"/>
        </w:rPr>
        <w:t xml:space="preserve">) and cell death were assessed by </w:t>
      </w:r>
      <w:proofErr w:type="spellStart"/>
      <w:r w:rsidRPr="008C04D9">
        <w:rPr>
          <w:rFonts w:ascii="Times New Roman" w:hAnsi="Times New Roman"/>
          <w:sz w:val="24"/>
          <w:szCs w:val="24"/>
        </w:rPr>
        <w:t>trypan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blue exclusion assay (*</w:t>
      </w:r>
      <w:r w:rsidRPr="008C04D9">
        <w:rPr>
          <w:rFonts w:ascii="Times New Roman" w:hAnsi="Times New Roman"/>
          <w:i/>
          <w:sz w:val="24"/>
          <w:szCs w:val="24"/>
        </w:rPr>
        <w:t xml:space="preserve">P </w:t>
      </w:r>
      <w:r w:rsidRPr="008C04D9">
        <w:rPr>
          <w:rFonts w:ascii="Times New Roman" w:eastAsia="굴림" w:hAnsi="Times New Roman"/>
          <w:color w:val="000000" w:themeColor="text1"/>
          <w:kern w:val="0"/>
          <w:sz w:val="24"/>
          <w:szCs w:val="24"/>
        </w:rPr>
        <w:t>&lt; 0.05, **</w:t>
      </w:r>
      <w:r w:rsidRPr="008C04D9">
        <w:rPr>
          <w:rFonts w:ascii="Times New Roman" w:eastAsia="굴림" w:hAnsi="Times New Roman"/>
          <w:i/>
          <w:color w:val="000000" w:themeColor="text1"/>
          <w:kern w:val="0"/>
          <w:sz w:val="24"/>
          <w:szCs w:val="24"/>
        </w:rPr>
        <w:t xml:space="preserve">P </w:t>
      </w:r>
      <w:r w:rsidRPr="008C04D9">
        <w:rPr>
          <w:rFonts w:ascii="Times New Roman" w:eastAsia="굴림" w:hAnsi="Times New Roman"/>
          <w:color w:val="000000" w:themeColor="text1"/>
          <w:kern w:val="0"/>
          <w:sz w:val="24"/>
          <w:szCs w:val="24"/>
        </w:rPr>
        <w:t xml:space="preserve">&lt; </w:t>
      </w:r>
      <w:r w:rsidRPr="008C04D9">
        <w:rPr>
          <w:rFonts w:ascii="Times New Roman" w:hAnsi="Times New Roman"/>
          <w:sz w:val="24"/>
          <w:szCs w:val="24"/>
        </w:rPr>
        <w:t>0.01, ***</w:t>
      </w:r>
      <w:r w:rsidRPr="008C04D9">
        <w:rPr>
          <w:rFonts w:ascii="Times New Roman" w:hAnsi="Times New Roman"/>
          <w:i/>
          <w:sz w:val="24"/>
          <w:szCs w:val="24"/>
        </w:rPr>
        <w:t xml:space="preserve">P </w:t>
      </w:r>
      <w:r w:rsidRPr="008C04D9">
        <w:rPr>
          <w:rFonts w:ascii="Times New Roman" w:hAnsi="Times New Roman"/>
          <w:sz w:val="24"/>
          <w:szCs w:val="24"/>
        </w:rPr>
        <w:t>&lt; 0.001</w:t>
      </w:r>
      <w:r w:rsidRPr="008C04D9">
        <w:rPr>
          <w:rFonts w:ascii="Times New Roman" w:hAnsi="Times New Roman"/>
          <w:color w:val="222222"/>
          <w:spacing w:val="3"/>
          <w:sz w:val="24"/>
          <w:szCs w:val="24"/>
          <w:shd w:val="clear" w:color="auto" w:fill="FFFFFF"/>
        </w:rPr>
        <w:t xml:space="preserve">, </w:t>
      </w:r>
      <w:r w:rsidRPr="008C04D9">
        <w:rPr>
          <w:rFonts w:ascii="Times New Roman" w:hAnsi="Times New Roman"/>
          <w:i/>
          <w:color w:val="222222"/>
          <w:spacing w:val="3"/>
          <w:sz w:val="24"/>
          <w:szCs w:val="24"/>
          <w:shd w:val="clear" w:color="auto" w:fill="FFFFFF"/>
        </w:rPr>
        <w:t>N.S.</w:t>
      </w:r>
      <w:r w:rsidRPr="008C04D9">
        <w:rPr>
          <w:rFonts w:ascii="Times New Roman" w:hAnsi="Times New Roman"/>
          <w:color w:val="222222"/>
          <w:spacing w:val="3"/>
          <w:sz w:val="24"/>
          <w:szCs w:val="24"/>
          <w:shd w:val="clear" w:color="auto" w:fill="FFFFFF"/>
        </w:rPr>
        <w:t>,</w:t>
      </w:r>
      <w:r w:rsidRPr="008C04D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not</w:t>
      </w:r>
      <w:r w:rsidRPr="008C04D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8C04D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significant</w:t>
      </w:r>
      <w:r w:rsidRPr="008C04D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</w:t>
      </w:r>
      <w:r w:rsidRPr="008C04D9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P</w:t>
      </w:r>
      <w:r w:rsidRPr="008C04D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&gt; 0.05),</w:t>
      </w:r>
      <w:r w:rsidRPr="008C04D9">
        <w:rPr>
          <w:rFonts w:ascii="Times New Roman" w:hAnsi="Times New Roman"/>
          <w:color w:val="222222"/>
          <w:spacing w:val="3"/>
          <w:sz w:val="24"/>
          <w:szCs w:val="24"/>
          <w:shd w:val="clear" w:color="auto" w:fill="FFFFFF"/>
        </w:rPr>
        <w:t xml:space="preserve"> one-way ANOVA/</w:t>
      </w:r>
      <w:proofErr w:type="spellStart"/>
      <w:r w:rsidRPr="008C04D9">
        <w:rPr>
          <w:rFonts w:ascii="Times New Roman" w:hAnsi="Times New Roman"/>
          <w:color w:val="222222"/>
          <w:spacing w:val="3"/>
          <w:sz w:val="24"/>
          <w:szCs w:val="24"/>
          <w:shd w:val="clear" w:color="auto" w:fill="FFFFFF"/>
        </w:rPr>
        <w:t>Bonferroni</w:t>
      </w:r>
      <w:proofErr w:type="spellEnd"/>
      <w:r w:rsidRPr="008C04D9">
        <w:rPr>
          <w:rFonts w:ascii="Times New Roman" w:hAnsi="Times New Roman"/>
          <w:sz w:val="24"/>
          <w:szCs w:val="24"/>
        </w:rPr>
        <w:t>) (</w:t>
      </w:r>
      <w:r>
        <w:rPr>
          <w:rFonts w:ascii="Times New Roman" w:hAnsi="Times New Roman"/>
          <w:sz w:val="24"/>
          <w:szCs w:val="24"/>
        </w:rPr>
        <w:t>d</w:t>
      </w:r>
      <w:r w:rsidRPr="008C04D9">
        <w:rPr>
          <w:rFonts w:ascii="Times New Roman" w:hAnsi="Times New Roman"/>
          <w:sz w:val="24"/>
          <w:szCs w:val="24"/>
        </w:rPr>
        <w:t>).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A7F00" w:rsidRPr="008C04D9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>Supplementa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ry Figure 6</w:t>
      </w: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ADORA2B D296G mutant does not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induce the accumulation of</w:t>
      </w: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C04D9">
        <w:rPr>
          <w:rFonts w:ascii="Times New Roman" w:hAnsi="Times New Roman"/>
          <w:b/>
          <w:sz w:val="24"/>
          <w:szCs w:val="24"/>
        </w:rPr>
        <w:t>HIF1</w:t>
      </w:r>
      <w:r w:rsidRPr="008C04D9">
        <w:rPr>
          <w:rFonts w:ascii="Times New Roman" w:eastAsia="맑은 고딕" w:hAnsi="Times New Roman"/>
          <w:b/>
          <w:sz w:val="24"/>
          <w:szCs w:val="24"/>
        </w:rPr>
        <w:t>α</w:t>
      </w:r>
      <w:r w:rsidRPr="008C04D9">
        <w:rPr>
          <w:rFonts w:ascii="Times New Roman" w:hAnsi="Times New Roman"/>
          <w:b/>
          <w:sz w:val="24"/>
          <w:szCs w:val="24"/>
        </w:rPr>
        <w:t xml:space="preserve"> under hypoxia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gramStart"/>
      <w:r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proofErr w:type="gramEnd"/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b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8C04D9">
        <w:rPr>
          <w:rFonts w:ascii="Times New Roman" w:hAnsi="Times New Roman"/>
          <w:sz w:val="24"/>
          <w:szCs w:val="24"/>
        </w:rPr>
        <w:t>Asp296 of ADORA2B is important in HIF1</w:t>
      </w:r>
      <w:r w:rsidRPr="008C04D9">
        <w:rPr>
          <w:rFonts w:ascii="Times New Roman" w:eastAsia="맑은 고딕" w:hAnsi="Times New Roman"/>
          <w:sz w:val="24"/>
          <w:szCs w:val="24"/>
        </w:rPr>
        <w:t>α</w:t>
      </w:r>
      <w:r w:rsidRPr="008C04D9">
        <w:rPr>
          <w:rFonts w:ascii="Times New Roman" w:hAnsi="Times New Roman"/>
          <w:sz w:val="24"/>
          <w:szCs w:val="24"/>
        </w:rPr>
        <w:t xml:space="preserve"> accumulation under hypoxic stress. 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>HeLa (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>) and HEK293T (</w:t>
      </w:r>
      <w:r>
        <w:rPr>
          <w:rFonts w:ascii="Times New Roman" w:hAnsi="Times New Roman"/>
          <w:color w:val="000000" w:themeColor="text1"/>
          <w:sz w:val="24"/>
          <w:szCs w:val="24"/>
        </w:rPr>
        <w:t>b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) cells were transfected with </w:t>
      </w:r>
      <w:proofErr w:type="spellStart"/>
      <w:r w:rsidRPr="008C04D9">
        <w:rPr>
          <w:rFonts w:ascii="Times New Roman" w:hAnsi="Times New Roman"/>
          <w:sz w:val="24"/>
          <w:szCs w:val="24"/>
        </w:rPr>
        <w:t>pDEST</w:t>
      </w:r>
      <w:proofErr w:type="spellEnd"/>
      <w:r w:rsidRPr="008C04D9">
        <w:rPr>
          <w:rFonts w:ascii="Times New Roman" w:hAnsi="Times New Roman"/>
          <w:sz w:val="24"/>
          <w:szCs w:val="24"/>
        </w:rPr>
        <w:t>-HA (-), ADORA2B-HA</w:t>
      </w:r>
      <w:r>
        <w:rPr>
          <w:rFonts w:ascii="Times New Roman" w:hAnsi="Times New Roman"/>
          <w:sz w:val="24"/>
          <w:szCs w:val="24"/>
        </w:rPr>
        <w:t>,</w:t>
      </w:r>
      <w:r w:rsidRPr="008C04D9">
        <w:rPr>
          <w:rFonts w:ascii="Times New Roman" w:hAnsi="Times New Roman"/>
          <w:sz w:val="24"/>
          <w:szCs w:val="24"/>
        </w:rPr>
        <w:t xml:space="preserve"> or ADORA2B D296G-HA for 24 h, 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switched to serum-free medium for 24 h, </w:t>
      </w:r>
      <w:r w:rsidRPr="008C04D9">
        <w:rPr>
          <w:rFonts w:ascii="Times New Roman" w:hAnsi="Times New Roman"/>
          <w:sz w:val="24"/>
          <w:szCs w:val="24"/>
        </w:rPr>
        <w:t xml:space="preserve">pre-treated with 10 </w:t>
      </w:r>
      <w:proofErr w:type="spellStart"/>
      <w:r w:rsidRPr="008C04D9">
        <w:rPr>
          <w:rFonts w:ascii="Times New Roman" w:hAnsi="Times New Roman"/>
          <w:sz w:val="24"/>
          <w:szCs w:val="24"/>
        </w:rPr>
        <w:t>μM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BAY60-6583 for 10 min</w:t>
      </w:r>
      <w:r>
        <w:rPr>
          <w:rFonts w:ascii="Times New Roman" w:hAnsi="Times New Roman"/>
          <w:sz w:val="24"/>
          <w:szCs w:val="24"/>
        </w:rPr>
        <w:t>,</w:t>
      </w:r>
      <w:r w:rsidRPr="008C04D9">
        <w:rPr>
          <w:rFonts w:ascii="Times New Roman" w:hAnsi="Times New Roman"/>
          <w:sz w:val="24"/>
          <w:szCs w:val="24"/>
        </w:rPr>
        <w:t xml:space="preserve"> and then incubated under the hypoxic condition for 3 h. Cell extracts were analyzed by western blotting.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A7F00" w:rsidRPr="008C04D9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8C04D9">
        <w:rPr>
          <w:rFonts w:ascii="Times New Roman" w:hAnsi="Times New Roman" w:hint="eastAsia"/>
          <w:b/>
          <w:sz w:val="24"/>
          <w:szCs w:val="24"/>
        </w:rPr>
        <w:t>S</w:t>
      </w:r>
      <w:r w:rsidRPr="008C04D9">
        <w:rPr>
          <w:rFonts w:ascii="Times New Roman" w:hAnsi="Times New Roman"/>
          <w:b/>
          <w:sz w:val="24"/>
          <w:szCs w:val="24"/>
        </w:rPr>
        <w:t>upplementa</w:t>
      </w:r>
      <w:r>
        <w:rPr>
          <w:rFonts w:ascii="Times New Roman" w:hAnsi="Times New Roman"/>
          <w:b/>
          <w:sz w:val="24"/>
          <w:szCs w:val="24"/>
        </w:rPr>
        <w:t>ry Figure 7</w:t>
      </w:r>
      <w:r w:rsidRPr="008C04D9">
        <w:rPr>
          <w:rFonts w:ascii="Times New Roman" w:hAnsi="Times New Roman"/>
          <w:b/>
          <w:sz w:val="24"/>
          <w:szCs w:val="24"/>
        </w:rPr>
        <w:t xml:space="preserve">. Generation of </w:t>
      </w:r>
      <w:r w:rsidRPr="00E64387">
        <w:rPr>
          <w:rFonts w:ascii="Times New Roman" w:hAnsi="Times New Roman"/>
          <w:b/>
          <w:i/>
          <w:sz w:val="24"/>
          <w:szCs w:val="24"/>
        </w:rPr>
        <w:t>Adora2b</w:t>
      </w:r>
      <w:r w:rsidRPr="008C04D9">
        <w:rPr>
          <w:rFonts w:ascii="Times New Roman" w:hAnsi="Times New Roman"/>
          <w:b/>
          <w:sz w:val="24"/>
          <w:szCs w:val="24"/>
        </w:rPr>
        <w:t xml:space="preserve"> D296G knock-in mice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a</w:t>
      </w:r>
      <w:r w:rsidRPr="008C04D9">
        <w:rPr>
          <w:rFonts w:ascii="Times New Roman" w:hAnsi="Times New Roman"/>
          <w:sz w:val="24"/>
          <w:szCs w:val="24"/>
        </w:rPr>
        <w:t xml:space="preserve">) Scheme for genotyping strategy of </w:t>
      </w:r>
      <w:r w:rsidRPr="00C951FF">
        <w:rPr>
          <w:rFonts w:ascii="Times New Roman" w:hAnsi="Times New Roman"/>
          <w:i/>
          <w:sz w:val="24"/>
          <w:szCs w:val="24"/>
        </w:rPr>
        <w:t>Adora2b</w:t>
      </w:r>
      <w:r w:rsidRPr="008C04D9">
        <w:rPr>
          <w:rFonts w:ascii="Times New Roman" w:hAnsi="Times New Roman"/>
          <w:sz w:val="24"/>
          <w:szCs w:val="24"/>
        </w:rPr>
        <w:t xml:space="preserve"> D296G knock-in mice.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C04D9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b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) Schematic illustration of </w:t>
      </w:r>
      <w:r w:rsidRPr="006A4FA5">
        <w:rPr>
          <w:rFonts w:ascii="Times New Roman" w:hAnsi="Times New Roman"/>
          <w:i/>
          <w:color w:val="000000" w:themeColor="text1"/>
          <w:sz w:val="24"/>
          <w:szCs w:val="24"/>
        </w:rPr>
        <w:t>Adora2b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 D296G mutation.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C04D9">
        <w:rPr>
          <w:rFonts w:ascii="Times New Roman" w:hAnsi="Times New Roman"/>
          <w:color w:val="000000" w:themeColor="text1"/>
          <w:sz w:val="24"/>
          <w:szCs w:val="24"/>
        </w:rPr>
        <w:lastRenderedPageBreak/>
        <w:t>(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c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C951FF">
        <w:rPr>
          <w:rFonts w:ascii="Times New Roman" w:hAnsi="Times New Roman"/>
          <w:i/>
          <w:color w:val="000000" w:themeColor="text1"/>
          <w:sz w:val="24"/>
          <w:szCs w:val="24"/>
        </w:rPr>
        <w:t>Adora2b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 genotyping by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genomic 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>PCR. Genomic DNA was extracted from mice of different </w:t>
      </w:r>
      <w:r w:rsidRPr="008C04D9">
        <w:rPr>
          <w:rStyle w:val="a3"/>
          <w:rFonts w:ascii="Times New Roman" w:hAnsi="Times New Roman"/>
          <w:color w:val="000000" w:themeColor="text1"/>
          <w:sz w:val="24"/>
          <w:szCs w:val="24"/>
        </w:rPr>
        <w:t>Adora2b</w:t>
      </w:r>
      <w:r w:rsidRPr="008C04D9">
        <w:rPr>
          <w:rFonts w:ascii="Times New Roman" w:hAnsi="Times New Roman"/>
          <w:i/>
          <w:color w:val="000000" w:themeColor="text1"/>
          <w:sz w:val="24"/>
          <w:szCs w:val="24"/>
        </w:rPr>
        <w:t> 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>genotypes and subjected to amplification by PCR. PCR products are resolved by agarose gel electrophoresis.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A7F00" w:rsidRPr="008C04D9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>Supplementa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ry</w:t>
      </w: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Figure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ADORA2B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accumula</w:t>
      </w:r>
      <w:r w:rsidRPr="008C04D9">
        <w:rPr>
          <w:rFonts w:ascii="Times New Roman" w:hAnsi="Times New Roman"/>
          <w:b/>
          <w:color w:val="000000" w:themeColor="text1"/>
          <w:sz w:val="24"/>
          <w:szCs w:val="24"/>
        </w:rPr>
        <w:t xml:space="preserve">tion by APIP is regulated via the lysosomal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event.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8C04D9">
        <w:rPr>
          <w:rFonts w:ascii="Times New Roman" w:hAnsi="Times New Roman"/>
          <w:b/>
          <w:sz w:val="24"/>
          <w:szCs w:val="24"/>
        </w:rPr>
        <w:t xml:space="preserve"> </w:t>
      </w:r>
      <w:r w:rsidRPr="008C04D9">
        <w:rPr>
          <w:rFonts w:ascii="Times New Roman" w:hAnsi="Times New Roman"/>
          <w:sz w:val="24"/>
          <w:szCs w:val="24"/>
        </w:rPr>
        <w:t>and</w:t>
      </w:r>
      <w:r w:rsidRPr="008C04D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b</w:t>
      </w:r>
      <w:r w:rsidRPr="008C04D9">
        <w:rPr>
          <w:rFonts w:ascii="Times New Roman" w:hAnsi="Times New Roman"/>
          <w:sz w:val="24"/>
          <w:szCs w:val="24"/>
        </w:rPr>
        <w:t xml:space="preserve">) 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ADORA2B </w:t>
      </w:r>
      <w:r>
        <w:rPr>
          <w:rFonts w:ascii="Times New Roman" w:hAnsi="Times New Roman"/>
          <w:color w:val="000000" w:themeColor="text1"/>
          <w:sz w:val="24"/>
          <w:szCs w:val="24"/>
        </w:rPr>
        <w:t>de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stabilization by APIP knockdown is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suppressed by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>afilomycin</w:t>
      </w:r>
      <w:proofErr w:type="spellEnd"/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 A1. </w:t>
      </w:r>
      <w:r w:rsidRPr="008C04D9">
        <w:rPr>
          <w:rFonts w:ascii="Times New Roman" w:hAnsi="Times New Roman"/>
          <w:sz w:val="24"/>
          <w:szCs w:val="24"/>
        </w:rPr>
        <w:t>HeLa/Mock and HeLa/</w:t>
      </w:r>
      <w:proofErr w:type="spellStart"/>
      <w:r w:rsidRPr="008C04D9">
        <w:rPr>
          <w:rFonts w:ascii="Times New Roman" w:hAnsi="Times New Roman"/>
          <w:sz w:val="24"/>
          <w:szCs w:val="24"/>
        </w:rPr>
        <w:t>sh</w:t>
      </w:r>
      <w:r w:rsidRPr="00C951FF">
        <w:rPr>
          <w:rFonts w:ascii="Times New Roman" w:hAnsi="Times New Roman"/>
          <w:i/>
          <w:sz w:val="24"/>
          <w:szCs w:val="24"/>
        </w:rPr>
        <w:t>APIP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cells were treated with 10 </w:t>
      </w:r>
      <w:proofErr w:type="spellStart"/>
      <w:r w:rsidRPr="008C04D9">
        <w:rPr>
          <w:rFonts w:ascii="Times New Roman" w:hAnsi="Times New Roman"/>
          <w:sz w:val="24"/>
          <w:szCs w:val="24"/>
        </w:rPr>
        <w:t>nM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8C04D9">
        <w:rPr>
          <w:rFonts w:ascii="Times New Roman" w:hAnsi="Times New Roman"/>
          <w:sz w:val="24"/>
          <w:szCs w:val="24"/>
        </w:rPr>
        <w:t>afilomycin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A1 (BafA1) for 6 h. Cell lysates were analyzed by western blotting</w:t>
      </w:r>
      <w:r>
        <w:rPr>
          <w:rFonts w:ascii="Times New Roman" w:hAnsi="Times New Roman"/>
          <w:sz w:val="24"/>
          <w:szCs w:val="24"/>
        </w:rPr>
        <w:t xml:space="preserve"> (a)</w:t>
      </w:r>
      <w:r w:rsidRPr="008C04D9">
        <w:rPr>
          <w:rFonts w:ascii="Times New Roman" w:hAnsi="Times New Roman"/>
          <w:sz w:val="24"/>
          <w:szCs w:val="24"/>
        </w:rPr>
        <w:t xml:space="preserve"> and the signals on the blots were quantified by </w:t>
      </w:r>
      <w:proofErr w:type="spellStart"/>
      <w:r w:rsidRPr="008C04D9">
        <w:rPr>
          <w:rFonts w:ascii="Times New Roman" w:hAnsi="Times New Roman"/>
          <w:sz w:val="24"/>
          <w:szCs w:val="24"/>
        </w:rPr>
        <w:t>densitometric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analysis (*</w:t>
      </w:r>
      <w:r w:rsidRPr="008C04D9">
        <w:rPr>
          <w:rFonts w:ascii="Times New Roman" w:hAnsi="Times New Roman"/>
          <w:i/>
          <w:iCs/>
          <w:sz w:val="24"/>
          <w:szCs w:val="24"/>
        </w:rPr>
        <w:t>P</w:t>
      </w:r>
      <w:r w:rsidRPr="008C04D9">
        <w:rPr>
          <w:rFonts w:ascii="Times New Roman" w:hAnsi="Times New Roman"/>
          <w:sz w:val="24"/>
          <w:szCs w:val="24"/>
        </w:rPr>
        <w:t xml:space="preserve"> &lt; 0.05, </w:t>
      </w:r>
      <w:r w:rsidRPr="008C04D9">
        <w:rPr>
          <w:rFonts w:ascii="Times New Roman" w:hAnsi="Times New Roman"/>
          <w:i/>
          <w:iCs/>
          <w:sz w:val="24"/>
          <w:szCs w:val="24"/>
        </w:rPr>
        <w:t>N.S.</w:t>
      </w:r>
      <w:r w:rsidRPr="008C04D9">
        <w:rPr>
          <w:rFonts w:ascii="Times New Roman" w:hAnsi="Times New Roman"/>
          <w:sz w:val="24"/>
          <w:szCs w:val="24"/>
        </w:rPr>
        <w:t>, not significant, one-way ANOVA/</w:t>
      </w:r>
      <w:proofErr w:type="spellStart"/>
      <w:r w:rsidRPr="008C04D9">
        <w:rPr>
          <w:rFonts w:ascii="Times New Roman" w:hAnsi="Times New Roman"/>
          <w:sz w:val="24"/>
          <w:szCs w:val="24"/>
        </w:rPr>
        <w:t>Bonferroni</w:t>
      </w:r>
      <w:proofErr w:type="spellEnd"/>
      <w:r w:rsidRPr="008C04D9">
        <w:rPr>
          <w:rFonts w:ascii="Times New Roman" w:hAnsi="Times New Roman"/>
          <w:sz w:val="24"/>
          <w:szCs w:val="24"/>
        </w:rPr>
        <w:t>)</w:t>
      </w:r>
      <w:r w:rsidRPr="006A4FA5">
        <w:rPr>
          <w:rFonts w:ascii="Times New Roman" w:hAnsi="Times New Roman"/>
          <w:sz w:val="24"/>
          <w:szCs w:val="24"/>
        </w:rPr>
        <w:t xml:space="preserve"> </w:t>
      </w:r>
      <w:r w:rsidRPr="008C04D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b</w:t>
      </w:r>
      <w:r w:rsidRPr="008C04D9">
        <w:rPr>
          <w:rFonts w:ascii="Times New Roman" w:hAnsi="Times New Roman"/>
          <w:sz w:val="24"/>
          <w:szCs w:val="24"/>
        </w:rPr>
        <w:t>).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sz w:val="24"/>
          <w:szCs w:val="24"/>
        </w:rPr>
      </w:pPr>
      <w:r w:rsidRPr="008C04D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c</w:t>
      </w:r>
      <w:r w:rsidRPr="008C04D9">
        <w:rPr>
          <w:rFonts w:ascii="Times New Roman" w:hAnsi="Times New Roman"/>
          <w:sz w:val="24"/>
          <w:szCs w:val="24"/>
        </w:rPr>
        <w:t xml:space="preserve">) 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ADORA2B </w:t>
      </w:r>
      <w:r>
        <w:rPr>
          <w:rFonts w:ascii="Times New Roman" w:hAnsi="Times New Roman"/>
          <w:color w:val="000000" w:themeColor="text1"/>
          <w:sz w:val="24"/>
          <w:szCs w:val="24"/>
        </w:rPr>
        <w:t>de</w:t>
      </w:r>
      <w:r w:rsidRPr="008C04D9">
        <w:rPr>
          <w:rFonts w:ascii="Times New Roman" w:hAnsi="Times New Roman"/>
          <w:color w:val="000000" w:themeColor="text1"/>
          <w:sz w:val="24"/>
          <w:szCs w:val="24"/>
        </w:rPr>
        <w:t xml:space="preserve">stabilization by APIP knockdown is not affected by MG132. </w:t>
      </w:r>
      <w:r w:rsidRPr="008C04D9">
        <w:rPr>
          <w:rFonts w:ascii="Times New Roman" w:hAnsi="Times New Roman"/>
          <w:sz w:val="24"/>
          <w:szCs w:val="24"/>
        </w:rPr>
        <w:t>HeLa/Mock and HeLa/</w:t>
      </w:r>
      <w:proofErr w:type="spellStart"/>
      <w:r w:rsidRPr="008C04D9">
        <w:rPr>
          <w:rFonts w:ascii="Times New Roman" w:hAnsi="Times New Roman"/>
          <w:sz w:val="24"/>
          <w:szCs w:val="24"/>
        </w:rPr>
        <w:t>sh</w:t>
      </w:r>
      <w:r w:rsidRPr="00C951FF">
        <w:rPr>
          <w:rFonts w:ascii="Times New Roman" w:hAnsi="Times New Roman"/>
          <w:i/>
          <w:sz w:val="24"/>
          <w:szCs w:val="24"/>
        </w:rPr>
        <w:t>APIP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cells were treated with 5 </w:t>
      </w:r>
      <w:proofErr w:type="spellStart"/>
      <w:r w:rsidRPr="008C04D9">
        <w:rPr>
          <w:rFonts w:ascii="Times New Roman" w:hAnsi="Times New Roman"/>
          <w:sz w:val="24"/>
          <w:szCs w:val="24"/>
        </w:rPr>
        <w:t>μM</w:t>
      </w:r>
      <w:proofErr w:type="spellEnd"/>
      <w:r w:rsidRPr="008C04D9">
        <w:rPr>
          <w:rFonts w:ascii="Times New Roman" w:hAnsi="Times New Roman"/>
          <w:sz w:val="24"/>
          <w:szCs w:val="24"/>
        </w:rPr>
        <w:t xml:space="preserve"> MG132 for 6 h and analyzed by western blotting.</w:t>
      </w:r>
    </w:p>
    <w:p w:rsidR="003A7F00" w:rsidRPr="008C04D9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A7F00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A7F00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A7F00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A7F00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A7F00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A7F00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A7F00" w:rsidRDefault="003A7F00" w:rsidP="003A7F00">
      <w:pPr>
        <w:spacing w:line="480" w:lineRule="auto"/>
        <w:rPr>
          <w:rFonts w:ascii="Times New Roman" w:hAnsi="Times New Roman" w:hint="eastAsia"/>
          <w:b/>
          <w:sz w:val="24"/>
          <w:szCs w:val="24"/>
        </w:rPr>
      </w:pPr>
    </w:p>
    <w:p w:rsidR="003A7F00" w:rsidRDefault="003A7F00" w:rsidP="003A7F0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A7F00" w:rsidRPr="005E31EA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E31EA">
        <w:rPr>
          <w:rFonts w:ascii="Times New Roman" w:hAnsi="Times New Roman" w:hint="eastAsia"/>
          <w:b/>
          <w:color w:val="000000" w:themeColor="text1"/>
          <w:sz w:val="24"/>
          <w:szCs w:val="24"/>
        </w:rPr>
        <w:lastRenderedPageBreak/>
        <w:t>S</w:t>
      </w: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 xml:space="preserve">upplementary </w:t>
      </w:r>
      <w:r w:rsidRPr="005E31EA">
        <w:rPr>
          <w:rFonts w:ascii="Times New Roman" w:hAnsi="Times New Roman" w:hint="eastAsia"/>
          <w:b/>
          <w:color w:val="000000" w:themeColor="text1"/>
          <w:sz w:val="24"/>
          <w:szCs w:val="24"/>
        </w:rPr>
        <w:t>table</w:t>
      </w: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legend</w:t>
      </w:r>
    </w:p>
    <w:p w:rsidR="003A7F00" w:rsidRPr="005E31EA" w:rsidRDefault="003A7F00" w:rsidP="003A7F00">
      <w:pPr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E31EA">
        <w:rPr>
          <w:rFonts w:ascii="Times New Roman" w:hAnsi="Times New Roman"/>
          <w:b/>
          <w:color w:val="000000" w:themeColor="text1"/>
          <w:sz w:val="24"/>
          <w:szCs w:val="24"/>
        </w:rPr>
        <w:t>Supplementary Table 1. Patient and control groups used for the gene expression analysis.</w:t>
      </w:r>
    </w:p>
    <w:p w:rsidR="00116259" w:rsidRDefault="003A7F00" w:rsidP="003A7F00">
      <w:pPr>
        <w:spacing w:line="480" w:lineRule="auto"/>
      </w:pPr>
      <w:r w:rsidRPr="005E31E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We examine the expression levels of </w:t>
      </w:r>
      <w:r w:rsidRPr="005E31EA">
        <w:rPr>
          <w:rFonts w:ascii="Times New Roman" w:hAnsi="Times New Roman"/>
          <w:i/>
          <w:color w:val="000000" w:themeColor="text1"/>
          <w:sz w:val="24"/>
          <w:szCs w:val="24"/>
          <w:shd w:val="clear" w:color="auto" w:fill="FFFFFF"/>
        </w:rPr>
        <w:t>APIP</w:t>
      </w:r>
      <w:r w:rsidRPr="005E31E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r w:rsidRPr="005E31EA">
        <w:rPr>
          <w:rFonts w:ascii="Times New Roman" w:hAnsi="Times New Roman"/>
          <w:i/>
          <w:color w:val="000000" w:themeColor="text1"/>
          <w:sz w:val="24"/>
          <w:szCs w:val="24"/>
          <w:shd w:val="clear" w:color="auto" w:fill="FFFFFF"/>
        </w:rPr>
        <w:t>ADORA2B</w:t>
      </w:r>
      <w:r w:rsidRPr="005E31E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mRNAs in cardiac tissues from 29 healthy adults (control group) and 18 patients suffering from ischemic</w:t>
      </w:r>
      <w:bookmarkStart w:id="0" w:name="_GoBack"/>
      <w:bookmarkEnd w:id="0"/>
      <w:r w:rsidRPr="005E31E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heart disease (IHD), congestive heart failure (CHF), dilated cardiomyopathy (DCM), or heart failure (HF) using RT-PCR.</w:t>
      </w:r>
    </w:p>
    <w:sectPr w:rsidR="00116259" w:rsidSect="003A7F00">
      <w:foot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5A5" w:rsidRDefault="001165A5" w:rsidP="003A7F00">
      <w:pPr>
        <w:spacing w:after="0" w:line="240" w:lineRule="auto"/>
      </w:pPr>
      <w:r>
        <w:separator/>
      </w:r>
    </w:p>
  </w:endnote>
  <w:endnote w:type="continuationSeparator" w:id="0">
    <w:p w:rsidR="001165A5" w:rsidRDefault="001165A5" w:rsidP="003A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F00" w:rsidRDefault="003A7F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5A5" w:rsidRDefault="001165A5" w:rsidP="003A7F00">
      <w:pPr>
        <w:spacing w:after="0" w:line="240" w:lineRule="auto"/>
      </w:pPr>
      <w:r>
        <w:separator/>
      </w:r>
    </w:p>
  </w:footnote>
  <w:footnote w:type="continuationSeparator" w:id="0">
    <w:p w:rsidR="001165A5" w:rsidRDefault="001165A5" w:rsidP="003A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00"/>
    <w:rsid w:val="00116259"/>
    <w:rsid w:val="001165A5"/>
    <w:rsid w:val="003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45D9"/>
  <w15:chartTrackingRefBased/>
  <w15:docId w15:val="{ADDAA18E-DDA4-4AE1-B803-D56DDDE1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F00"/>
    <w:pPr>
      <w:widowControl w:val="0"/>
      <w:wordWrap w:val="0"/>
      <w:autoSpaceDE w:val="0"/>
      <w:autoSpaceDN w:val="0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A7F00"/>
    <w:rPr>
      <w:i/>
      <w:iCs/>
    </w:rPr>
  </w:style>
  <w:style w:type="paragraph" w:styleId="HTML">
    <w:name w:val="HTML Preformatted"/>
    <w:basedOn w:val="a"/>
    <w:link w:val="HTMLChar"/>
    <w:uiPriority w:val="99"/>
    <w:semiHidden/>
    <w:unhideWhenUsed/>
    <w:rsid w:val="003A7F0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3A7F00"/>
    <w:rPr>
      <w:rFonts w:ascii="굴림체" w:eastAsia="굴림체" w:hAnsi="굴림체" w:cs="굴림체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3A7F0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A7F00"/>
    <w:rPr>
      <w:rFonts w:cs="Times New Roman"/>
    </w:rPr>
  </w:style>
  <w:style w:type="paragraph" w:styleId="a5">
    <w:name w:val="footer"/>
    <w:basedOn w:val="a"/>
    <w:link w:val="Char0"/>
    <w:uiPriority w:val="99"/>
    <w:unhideWhenUsed/>
    <w:rsid w:val="003A7F0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A7F0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1</cp:revision>
  <dcterms:created xsi:type="dcterms:W3CDTF">2019-05-30T19:19:00Z</dcterms:created>
  <dcterms:modified xsi:type="dcterms:W3CDTF">2019-05-30T19:26:00Z</dcterms:modified>
</cp:coreProperties>
</file>