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D6C" w:rsidRPr="00FE5632" w:rsidRDefault="009C3D6C" w:rsidP="00E1588B">
      <w:pPr>
        <w:pStyle w:val="Default"/>
        <w:snapToGrid w:val="0"/>
        <w:spacing w:line="360" w:lineRule="auto"/>
        <w:jc w:val="both"/>
        <w:rPr>
          <w:rFonts w:ascii="Times New Roman" w:hAnsi="Times New Roman" w:cs="Times New Roman"/>
          <w:b/>
          <w:bCs/>
        </w:rPr>
      </w:pPr>
      <w:r w:rsidRPr="00FE5632">
        <w:rPr>
          <w:rFonts w:ascii="Times New Roman" w:hAnsi="Times New Roman" w:cs="Times New Roman"/>
          <w:b/>
          <w:bCs/>
        </w:rPr>
        <w:t>Supplemental Material</w:t>
      </w:r>
    </w:p>
    <w:p w:rsidR="009C3D6C" w:rsidRPr="00FE5632" w:rsidRDefault="009C3D6C" w:rsidP="00E1588B">
      <w:pPr>
        <w:pStyle w:val="Default"/>
        <w:snapToGrid w:val="0"/>
        <w:spacing w:line="360" w:lineRule="auto"/>
        <w:jc w:val="both"/>
        <w:rPr>
          <w:rFonts w:ascii="Times New Roman" w:hAnsi="Times New Roman" w:cs="Times New Roman"/>
          <w:b/>
          <w:bCs/>
        </w:rPr>
      </w:pPr>
    </w:p>
    <w:p w:rsidR="009C3D6C" w:rsidRPr="00FE5632" w:rsidRDefault="009C3D6C" w:rsidP="00E1588B">
      <w:pPr>
        <w:pStyle w:val="Default"/>
        <w:snapToGrid w:val="0"/>
        <w:spacing w:line="360" w:lineRule="auto"/>
        <w:jc w:val="both"/>
        <w:rPr>
          <w:rFonts w:ascii="Times New Roman" w:hAnsi="Times New Roman" w:cs="Times New Roman"/>
          <w:bCs/>
        </w:rPr>
      </w:pPr>
      <w:r w:rsidRPr="00FE5632">
        <w:rPr>
          <w:rFonts w:ascii="Times New Roman" w:hAnsi="Times New Roman" w:cs="Times New Roman"/>
          <w:bCs/>
        </w:rPr>
        <w:t>Jing Yang, et al.</w:t>
      </w:r>
    </w:p>
    <w:p w:rsidR="00E1588B" w:rsidRPr="00FE5632" w:rsidRDefault="00E1588B" w:rsidP="00E1588B">
      <w:pPr>
        <w:pStyle w:val="Default"/>
        <w:snapToGrid w:val="0"/>
        <w:spacing w:line="360" w:lineRule="auto"/>
        <w:jc w:val="both"/>
        <w:rPr>
          <w:rFonts w:ascii="Times New Roman" w:hAnsi="Times New Roman" w:cs="Times New Roman"/>
          <w:bCs/>
        </w:rPr>
      </w:pPr>
    </w:p>
    <w:p w:rsidR="009C3D6C" w:rsidRPr="00FE5632" w:rsidRDefault="009C3D6C" w:rsidP="00E1588B">
      <w:pPr>
        <w:autoSpaceDE w:val="0"/>
        <w:autoSpaceDN w:val="0"/>
        <w:adjustRightInd w:val="0"/>
        <w:snapToGrid w:val="0"/>
        <w:spacing w:line="360" w:lineRule="auto"/>
        <w:rPr>
          <w:rFonts w:cs="Times New Roman"/>
          <w:b/>
          <w:kern w:val="0"/>
          <w:sz w:val="24"/>
          <w:szCs w:val="24"/>
        </w:rPr>
      </w:pPr>
      <w:r w:rsidRPr="00FE5632">
        <w:rPr>
          <w:rFonts w:cs="Times New Roman"/>
          <w:b/>
          <w:kern w:val="0"/>
          <w:sz w:val="24"/>
          <w:szCs w:val="24"/>
        </w:rPr>
        <w:t>Transforming growth factor-β is involved in maintaining oocyte meiotic arrest by promoting natriuretic peptide type C expression in mouse granulosa cells</w:t>
      </w:r>
    </w:p>
    <w:p w:rsidR="009C3D6C" w:rsidRPr="00FE5632" w:rsidRDefault="009C3D6C" w:rsidP="00E1588B">
      <w:pPr>
        <w:pStyle w:val="Default"/>
        <w:snapToGrid w:val="0"/>
        <w:spacing w:line="360" w:lineRule="auto"/>
        <w:jc w:val="both"/>
        <w:rPr>
          <w:rFonts w:ascii="Times New Roman" w:hAnsi="Times New Roman" w:cs="Times New Roman"/>
          <w:bCs/>
        </w:rPr>
      </w:pPr>
    </w:p>
    <w:p w:rsidR="009C3D6C" w:rsidRPr="00FE5632" w:rsidRDefault="009C3D6C" w:rsidP="00E1588B">
      <w:pPr>
        <w:pStyle w:val="Default"/>
        <w:snapToGrid w:val="0"/>
        <w:spacing w:line="360" w:lineRule="auto"/>
        <w:jc w:val="both"/>
        <w:rPr>
          <w:rFonts w:ascii="Times New Roman" w:hAnsi="Times New Roman" w:cs="Times New Roman"/>
          <w:b/>
          <w:bCs/>
        </w:rPr>
      </w:pPr>
      <w:r w:rsidRPr="00FE5632">
        <w:rPr>
          <w:rFonts w:ascii="Times New Roman" w:hAnsi="Times New Roman" w:cs="Times New Roman"/>
          <w:b/>
          <w:bCs/>
        </w:rPr>
        <w:t xml:space="preserve">Supplementary </w:t>
      </w:r>
      <w:r w:rsidR="00BF5492" w:rsidRPr="00FE5632">
        <w:rPr>
          <w:rFonts w:ascii="Times New Roman" w:hAnsi="Times New Roman" w:cs="Times New Roman"/>
          <w:b/>
          <w:bCs/>
        </w:rPr>
        <w:t>Figure</w:t>
      </w:r>
      <w:r w:rsidRPr="00FE5632">
        <w:rPr>
          <w:rFonts w:ascii="Times New Roman" w:hAnsi="Times New Roman" w:cs="Times New Roman"/>
          <w:b/>
          <w:bCs/>
        </w:rPr>
        <w:t xml:space="preserve"> Legends</w:t>
      </w:r>
    </w:p>
    <w:p w:rsidR="009C3D6C" w:rsidRPr="00FE5632" w:rsidRDefault="009C3D6C" w:rsidP="00E1588B">
      <w:pPr>
        <w:pStyle w:val="Default"/>
        <w:snapToGrid w:val="0"/>
        <w:spacing w:line="360" w:lineRule="auto"/>
        <w:jc w:val="both"/>
        <w:rPr>
          <w:rFonts w:ascii="Times New Roman" w:hAnsi="Times New Roman" w:cs="Times New Roman"/>
          <w:b/>
          <w:bCs/>
        </w:rPr>
      </w:pPr>
    </w:p>
    <w:p w:rsidR="009C3D6C" w:rsidRPr="00FE5632" w:rsidRDefault="009C3D6C" w:rsidP="00E1588B">
      <w:pPr>
        <w:autoSpaceDE w:val="0"/>
        <w:autoSpaceDN w:val="0"/>
        <w:adjustRightInd w:val="0"/>
        <w:snapToGrid w:val="0"/>
        <w:spacing w:line="360" w:lineRule="auto"/>
        <w:rPr>
          <w:rFonts w:cs="Times New Roman"/>
          <w:kern w:val="0"/>
          <w:sz w:val="24"/>
          <w:szCs w:val="24"/>
        </w:rPr>
      </w:pPr>
      <w:r w:rsidRPr="00FE5632">
        <w:rPr>
          <w:rFonts w:cs="Times New Roman"/>
          <w:b/>
          <w:sz w:val="24"/>
          <w:szCs w:val="24"/>
        </w:rPr>
        <w:t xml:space="preserve">Fig. S1 </w:t>
      </w:r>
      <w:r w:rsidRPr="00FE5632">
        <w:rPr>
          <w:rFonts w:cs="Times New Roman"/>
          <w:b/>
          <w:kern w:val="0"/>
          <w:sz w:val="24"/>
          <w:szCs w:val="24"/>
        </w:rPr>
        <w:t>Uncropped scans of the most important Western blotting results</w:t>
      </w:r>
      <w:r w:rsidRPr="00FE5632">
        <w:rPr>
          <w:rFonts w:cs="Times New Roman"/>
          <w:kern w:val="0"/>
          <w:sz w:val="24"/>
          <w:szCs w:val="24"/>
        </w:rPr>
        <w:t xml:space="preserve">. Black boxes highlight the lanes used in the </w:t>
      </w:r>
      <w:r w:rsidR="005C33F8" w:rsidRPr="00FE5632">
        <w:rPr>
          <w:rFonts w:cs="Times New Roman"/>
          <w:color w:val="000000" w:themeColor="text1"/>
          <w:kern w:val="0"/>
          <w:sz w:val="24"/>
          <w:szCs w:val="24"/>
        </w:rPr>
        <w:t>f</w:t>
      </w:r>
      <w:r w:rsidRPr="00FE5632">
        <w:rPr>
          <w:rFonts w:cs="Times New Roman"/>
          <w:color w:val="000000" w:themeColor="text1"/>
          <w:kern w:val="0"/>
          <w:sz w:val="24"/>
          <w:szCs w:val="24"/>
        </w:rPr>
        <w:t>ig</w:t>
      </w:r>
      <w:r w:rsidR="005C33F8" w:rsidRPr="00FE5632">
        <w:rPr>
          <w:rFonts w:cs="Times New Roman"/>
          <w:color w:val="000000" w:themeColor="text1"/>
          <w:kern w:val="0"/>
          <w:sz w:val="24"/>
          <w:szCs w:val="24"/>
        </w:rPr>
        <w:t>ures</w:t>
      </w:r>
      <w:r w:rsidRPr="00FE5632">
        <w:rPr>
          <w:rFonts w:cs="Times New Roman"/>
          <w:kern w:val="0"/>
          <w:sz w:val="24"/>
          <w:szCs w:val="24"/>
        </w:rPr>
        <w:t>.</w:t>
      </w:r>
    </w:p>
    <w:p w:rsidR="009C67CD" w:rsidRPr="00FE5632" w:rsidRDefault="009C67CD" w:rsidP="00E1588B">
      <w:pPr>
        <w:autoSpaceDE w:val="0"/>
        <w:autoSpaceDN w:val="0"/>
        <w:adjustRightInd w:val="0"/>
        <w:snapToGrid w:val="0"/>
        <w:spacing w:line="360" w:lineRule="auto"/>
        <w:rPr>
          <w:rFonts w:cs="Times New Roman"/>
          <w:kern w:val="0"/>
          <w:sz w:val="24"/>
          <w:szCs w:val="24"/>
        </w:rPr>
      </w:pPr>
    </w:p>
    <w:p w:rsidR="009C67CD" w:rsidRPr="00FE5632" w:rsidRDefault="009C67CD" w:rsidP="009C67CD">
      <w:pPr>
        <w:adjustRightInd w:val="0"/>
        <w:snapToGrid w:val="0"/>
        <w:spacing w:line="360" w:lineRule="auto"/>
        <w:rPr>
          <w:rFonts w:cs="Times New Roman"/>
          <w:kern w:val="0"/>
          <w:sz w:val="24"/>
          <w:szCs w:val="24"/>
        </w:rPr>
      </w:pPr>
      <w:r w:rsidRPr="00FE5632">
        <w:rPr>
          <w:rFonts w:cs="Times New Roman"/>
          <w:b/>
          <w:sz w:val="24"/>
          <w:szCs w:val="24"/>
        </w:rPr>
        <w:t xml:space="preserve">Fig. S2 The mRNA expression of </w:t>
      </w:r>
      <w:r w:rsidRPr="00FE5632">
        <w:rPr>
          <w:rFonts w:cs="Times New Roman"/>
          <w:b/>
          <w:i/>
          <w:sz w:val="24"/>
          <w:szCs w:val="24"/>
        </w:rPr>
        <w:t>Tgfb2</w:t>
      </w:r>
      <w:r w:rsidRPr="00FE5632">
        <w:rPr>
          <w:rFonts w:cs="Times New Roman"/>
          <w:b/>
          <w:sz w:val="24"/>
          <w:szCs w:val="24"/>
        </w:rPr>
        <w:t xml:space="preserve"> in oocytes</w:t>
      </w:r>
      <w:r w:rsidRPr="00FE5632">
        <w:rPr>
          <w:rFonts w:cs="Times New Roman"/>
          <w:sz w:val="24"/>
          <w:szCs w:val="24"/>
        </w:rPr>
        <w:t xml:space="preserve"> </w:t>
      </w:r>
      <w:r w:rsidRPr="00FE5632">
        <w:rPr>
          <w:rFonts w:cs="Times New Roman"/>
          <w:b/>
          <w:sz w:val="24"/>
          <w:szCs w:val="24"/>
        </w:rPr>
        <w:t xml:space="preserve">and </w:t>
      </w:r>
      <w:r w:rsidRPr="00FE5632">
        <w:rPr>
          <w:rFonts w:cs="Times New Roman"/>
          <w:b/>
          <w:i/>
          <w:sz w:val="24"/>
          <w:szCs w:val="24"/>
        </w:rPr>
        <w:t>Bmpr2</w:t>
      </w:r>
      <w:r w:rsidRPr="00FE5632">
        <w:rPr>
          <w:rFonts w:cs="Times New Roman"/>
          <w:b/>
          <w:sz w:val="24"/>
          <w:szCs w:val="24"/>
        </w:rPr>
        <w:t xml:space="preserve"> in MGCs and </w:t>
      </w:r>
      <w:r w:rsidRPr="00FE5632">
        <w:rPr>
          <w:rFonts w:cs="Times New Roman"/>
          <w:b/>
          <w:kern w:val="0"/>
          <w:sz w:val="24"/>
          <w:szCs w:val="24"/>
        </w:rPr>
        <w:t xml:space="preserve">cumulus cells. </w:t>
      </w:r>
      <w:r w:rsidRPr="00FE5632">
        <w:rPr>
          <w:rFonts w:cs="Times New Roman"/>
          <w:kern w:val="0"/>
          <w:sz w:val="24"/>
          <w:szCs w:val="24"/>
        </w:rPr>
        <w:t xml:space="preserve">(a) Quantitative RT-PCR </w:t>
      </w:r>
      <w:r w:rsidR="00AE1A66" w:rsidRPr="00FE5632">
        <w:rPr>
          <w:rFonts w:cs="Times New Roman"/>
          <w:kern w:val="0"/>
          <w:sz w:val="24"/>
          <w:szCs w:val="24"/>
        </w:rPr>
        <w:t>analysis of the gene expression</w:t>
      </w:r>
      <w:r w:rsidRPr="00FE5632">
        <w:rPr>
          <w:rFonts w:cs="Times New Roman"/>
          <w:kern w:val="0"/>
          <w:sz w:val="24"/>
          <w:szCs w:val="24"/>
        </w:rPr>
        <w:t xml:space="preserve"> of </w:t>
      </w:r>
      <w:r w:rsidRPr="00FE5632">
        <w:rPr>
          <w:rFonts w:cs="Times New Roman"/>
          <w:i/>
          <w:iCs/>
          <w:kern w:val="0"/>
          <w:sz w:val="24"/>
          <w:szCs w:val="24"/>
        </w:rPr>
        <w:t xml:space="preserve">Tgfb2 </w:t>
      </w:r>
      <w:r w:rsidRPr="00FE5632">
        <w:rPr>
          <w:rFonts w:cs="Times New Roman"/>
          <w:kern w:val="0"/>
          <w:sz w:val="24"/>
          <w:szCs w:val="24"/>
        </w:rPr>
        <w:t>in oocytes.</w:t>
      </w:r>
      <w:r w:rsidRPr="00FE5632">
        <w:rPr>
          <w:rFonts w:cs="Times New Roman"/>
          <w:sz w:val="24"/>
          <w:szCs w:val="24"/>
        </w:rPr>
        <w:t xml:space="preserve"> (b) </w:t>
      </w:r>
      <w:r w:rsidRPr="00FE5632">
        <w:rPr>
          <w:rFonts w:cs="Times New Roman"/>
          <w:kern w:val="0"/>
          <w:sz w:val="24"/>
          <w:szCs w:val="24"/>
        </w:rPr>
        <w:t xml:space="preserve">Comparison of steady-state levels of </w:t>
      </w:r>
      <w:r w:rsidRPr="00FE5632">
        <w:rPr>
          <w:rFonts w:cs="Times New Roman"/>
          <w:i/>
          <w:iCs/>
          <w:kern w:val="0"/>
          <w:sz w:val="24"/>
          <w:szCs w:val="24"/>
        </w:rPr>
        <w:t>Bmpr2</w:t>
      </w:r>
      <w:r w:rsidRPr="00FE5632">
        <w:rPr>
          <w:rFonts w:cs="Times New Roman"/>
          <w:kern w:val="0"/>
          <w:sz w:val="24"/>
          <w:szCs w:val="24"/>
        </w:rPr>
        <w:t xml:space="preserve"> mRNA in MGCs and </w:t>
      </w:r>
      <w:bookmarkStart w:id="0" w:name="OLE_LINK7"/>
      <w:bookmarkStart w:id="1" w:name="OLE_LINK22"/>
      <w:r w:rsidRPr="00FE5632">
        <w:rPr>
          <w:rFonts w:cs="Times New Roman"/>
          <w:kern w:val="0"/>
          <w:sz w:val="24"/>
          <w:szCs w:val="24"/>
        </w:rPr>
        <w:t>cumulus cells</w:t>
      </w:r>
      <w:bookmarkEnd w:id="0"/>
      <w:bookmarkEnd w:id="1"/>
      <w:r w:rsidRPr="00FE5632">
        <w:rPr>
          <w:rFonts w:cs="Times New Roman"/>
          <w:kern w:val="0"/>
          <w:sz w:val="24"/>
          <w:szCs w:val="24"/>
        </w:rPr>
        <w:t xml:space="preserve"> (CCs) isolated from eCG-primed mice. </w:t>
      </w:r>
      <w:r w:rsidRPr="00FE5632">
        <w:rPr>
          <w:rFonts w:cs="Times New Roman"/>
          <w:sz w:val="24"/>
          <w:szCs w:val="24"/>
        </w:rPr>
        <w:t xml:space="preserve">Bars indicate the mean ± SEM of three experiments. Values not indicated by the same letter are significantly different </w:t>
      </w:r>
      <w:r w:rsidRPr="00FE5632">
        <w:rPr>
          <w:rFonts w:cs="Times New Roman"/>
          <w:kern w:val="0"/>
          <w:sz w:val="24"/>
          <w:szCs w:val="24"/>
        </w:rPr>
        <w:t>(</w:t>
      </w:r>
      <w:r w:rsidRPr="00FE5632">
        <w:rPr>
          <w:rFonts w:cs="Times New Roman"/>
          <w:i/>
          <w:kern w:val="0"/>
          <w:sz w:val="24"/>
          <w:szCs w:val="24"/>
        </w:rPr>
        <w:t xml:space="preserve">P </w:t>
      </w:r>
      <w:r w:rsidRPr="00FE5632">
        <w:rPr>
          <w:rFonts w:cs="Times New Roman"/>
          <w:kern w:val="0"/>
          <w:sz w:val="24"/>
          <w:szCs w:val="24"/>
        </w:rPr>
        <w:t>&lt; 0.05).</w:t>
      </w:r>
    </w:p>
    <w:p w:rsidR="009C3D6C" w:rsidRPr="00FE5632" w:rsidRDefault="009C3D6C" w:rsidP="00E1588B">
      <w:pPr>
        <w:autoSpaceDE w:val="0"/>
        <w:autoSpaceDN w:val="0"/>
        <w:adjustRightInd w:val="0"/>
        <w:snapToGrid w:val="0"/>
        <w:spacing w:line="360" w:lineRule="auto"/>
        <w:rPr>
          <w:rFonts w:cs="Times New Roman"/>
          <w:kern w:val="0"/>
          <w:sz w:val="24"/>
          <w:szCs w:val="24"/>
        </w:rPr>
      </w:pPr>
    </w:p>
    <w:p w:rsidR="009C3D6C" w:rsidRPr="00FE5632" w:rsidRDefault="009C67CD" w:rsidP="00E1588B">
      <w:pPr>
        <w:autoSpaceDE w:val="0"/>
        <w:autoSpaceDN w:val="0"/>
        <w:adjustRightInd w:val="0"/>
        <w:snapToGrid w:val="0"/>
        <w:spacing w:line="360" w:lineRule="auto"/>
        <w:rPr>
          <w:rFonts w:cs="Times New Roman"/>
          <w:kern w:val="0"/>
          <w:sz w:val="24"/>
          <w:szCs w:val="24"/>
        </w:rPr>
      </w:pPr>
      <w:r w:rsidRPr="00FE5632">
        <w:rPr>
          <w:rFonts w:cs="Times New Roman"/>
          <w:b/>
          <w:sz w:val="24"/>
          <w:szCs w:val="24"/>
        </w:rPr>
        <w:t>Fig. S3</w:t>
      </w:r>
      <w:r w:rsidR="009C3D6C" w:rsidRPr="00FE5632">
        <w:rPr>
          <w:rFonts w:cs="Times New Roman"/>
          <w:b/>
          <w:sz w:val="24"/>
          <w:szCs w:val="24"/>
        </w:rPr>
        <w:t xml:space="preserve"> </w:t>
      </w:r>
      <w:r w:rsidR="005C33F8" w:rsidRPr="00FE5632">
        <w:rPr>
          <w:rFonts w:cs="Times New Roman"/>
          <w:b/>
          <w:sz w:val="24"/>
          <w:szCs w:val="24"/>
        </w:rPr>
        <w:t>Effect</w:t>
      </w:r>
      <w:r w:rsidR="009C3D6C" w:rsidRPr="00FE5632">
        <w:rPr>
          <w:rFonts w:cs="Times New Roman"/>
          <w:b/>
          <w:sz w:val="24"/>
          <w:szCs w:val="24"/>
        </w:rPr>
        <w:t xml:space="preserve"> of TGF-β on </w:t>
      </w:r>
      <w:r w:rsidR="009C3D6C" w:rsidRPr="00FE5632">
        <w:rPr>
          <w:rFonts w:cs="Times New Roman"/>
          <w:b/>
          <w:i/>
          <w:sz w:val="24"/>
          <w:szCs w:val="24"/>
        </w:rPr>
        <w:t>Nppc</w:t>
      </w:r>
      <w:r w:rsidR="009C3D6C" w:rsidRPr="00FE5632">
        <w:rPr>
          <w:rFonts w:cs="Times New Roman"/>
          <w:b/>
          <w:sz w:val="24"/>
          <w:szCs w:val="24"/>
        </w:rPr>
        <w:t xml:space="preserve"> mRNA levels in MGCs.</w:t>
      </w:r>
      <w:r w:rsidR="009C3D6C" w:rsidRPr="00FE5632">
        <w:rPr>
          <w:rFonts w:cs="Times New Roman"/>
          <w:sz w:val="24"/>
          <w:szCs w:val="24"/>
        </w:rPr>
        <w:t xml:space="preserve"> Large antral follicles isolated from eCG-primed mice were cultured in </w:t>
      </w:r>
      <w:r w:rsidR="00BF5492" w:rsidRPr="00FE5632">
        <w:rPr>
          <w:rFonts w:cs="Times New Roman"/>
          <w:sz w:val="24"/>
          <w:szCs w:val="24"/>
        </w:rPr>
        <w:t>the</w:t>
      </w:r>
      <w:r w:rsidR="005C33F8" w:rsidRPr="00FE5632">
        <w:rPr>
          <w:rFonts w:cs="Times New Roman"/>
          <w:sz w:val="24"/>
          <w:szCs w:val="24"/>
        </w:rPr>
        <w:t xml:space="preserve"> </w:t>
      </w:r>
      <w:r w:rsidR="009C3D6C" w:rsidRPr="00FE5632">
        <w:rPr>
          <w:rFonts w:cs="Times New Roman"/>
          <w:sz w:val="24"/>
          <w:szCs w:val="24"/>
        </w:rPr>
        <w:t xml:space="preserve">medium, supplemented with TGF-β (including 10 ng/ml TGFB1, 50 ng/ml TGFB2, 10 ng/ml TGFB3), and/or 1 μmol/l SD208 (SD) for 4 h, and then MGCs were collected for gene analysis. Bars indicate the mean ± SEM of three experiments. </w:t>
      </w:r>
      <w:r w:rsidR="009C3D6C" w:rsidRPr="00FE5632">
        <w:rPr>
          <w:rFonts w:cs="Times New Roman"/>
          <w:i/>
          <w:sz w:val="24"/>
          <w:szCs w:val="24"/>
        </w:rPr>
        <w:t>n</w:t>
      </w:r>
      <w:r w:rsidR="009C3D6C" w:rsidRPr="00FE5632">
        <w:rPr>
          <w:rFonts w:cs="Times New Roman"/>
          <w:sz w:val="24"/>
          <w:szCs w:val="24"/>
        </w:rPr>
        <w:t xml:space="preserve"> = 30 for each treatment across all three replicates. </w:t>
      </w:r>
      <w:r w:rsidR="009C3D6C" w:rsidRPr="00FE5632">
        <w:rPr>
          <w:rFonts w:cs="Times New Roman"/>
          <w:kern w:val="0"/>
          <w:sz w:val="24"/>
          <w:szCs w:val="24"/>
        </w:rPr>
        <w:t>Values not indicated by the same letter are significantly different (</w:t>
      </w:r>
      <w:r w:rsidR="009C3D6C" w:rsidRPr="00FE5632">
        <w:rPr>
          <w:rFonts w:cs="Times New Roman"/>
          <w:i/>
          <w:kern w:val="0"/>
          <w:sz w:val="24"/>
          <w:szCs w:val="24"/>
        </w:rPr>
        <w:t xml:space="preserve">P </w:t>
      </w:r>
      <w:r w:rsidR="009C3D6C" w:rsidRPr="00FE5632">
        <w:rPr>
          <w:rFonts w:cs="Times New Roman"/>
          <w:kern w:val="0"/>
          <w:sz w:val="24"/>
          <w:szCs w:val="24"/>
        </w:rPr>
        <w:t>&lt; 0.05).</w:t>
      </w:r>
    </w:p>
    <w:p w:rsidR="009C3D6C" w:rsidRPr="00FE5632" w:rsidRDefault="009C3D6C" w:rsidP="00E1588B">
      <w:pPr>
        <w:autoSpaceDE w:val="0"/>
        <w:autoSpaceDN w:val="0"/>
        <w:adjustRightInd w:val="0"/>
        <w:snapToGrid w:val="0"/>
        <w:spacing w:line="360" w:lineRule="auto"/>
        <w:rPr>
          <w:rFonts w:cs="Times New Roman"/>
          <w:kern w:val="0"/>
          <w:sz w:val="24"/>
          <w:szCs w:val="24"/>
        </w:rPr>
      </w:pPr>
    </w:p>
    <w:p w:rsidR="009C3D6C" w:rsidRPr="00FE5632" w:rsidRDefault="009C67CD" w:rsidP="00E1588B">
      <w:pPr>
        <w:autoSpaceDE w:val="0"/>
        <w:autoSpaceDN w:val="0"/>
        <w:adjustRightInd w:val="0"/>
        <w:snapToGrid w:val="0"/>
        <w:spacing w:line="360" w:lineRule="auto"/>
        <w:rPr>
          <w:rFonts w:cs="Times New Roman"/>
          <w:kern w:val="0"/>
          <w:sz w:val="24"/>
          <w:szCs w:val="24"/>
        </w:rPr>
      </w:pPr>
      <w:r w:rsidRPr="00FE5632">
        <w:rPr>
          <w:rFonts w:cs="Times New Roman"/>
          <w:b/>
          <w:sz w:val="24"/>
          <w:szCs w:val="24"/>
        </w:rPr>
        <w:t>Fig. S4</w:t>
      </w:r>
      <w:r w:rsidR="009C3D6C" w:rsidRPr="00FE5632">
        <w:rPr>
          <w:rFonts w:cs="Times New Roman"/>
          <w:b/>
          <w:sz w:val="24"/>
          <w:szCs w:val="24"/>
        </w:rPr>
        <w:t xml:space="preserve"> Relationship between TGF-β and E2 in regulating </w:t>
      </w:r>
      <w:r w:rsidR="009C3D6C" w:rsidRPr="00FE5632">
        <w:rPr>
          <w:rFonts w:cs="Times New Roman"/>
          <w:b/>
          <w:i/>
          <w:sz w:val="24"/>
          <w:szCs w:val="24"/>
        </w:rPr>
        <w:t>Nppc</w:t>
      </w:r>
      <w:r w:rsidR="009C3D6C" w:rsidRPr="00FE5632">
        <w:rPr>
          <w:rFonts w:cs="Times New Roman"/>
          <w:b/>
          <w:sz w:val="24"/>
          <w:szCs w:val="24"/>
        </w:rPr>
        <w:t xml:space="preserve"> mRNA levels and oocyte meiotic resumption</w:t>
      </w:r>
      <w:r w:rsidR="009C3D6C" w:rsidRPr="00FE5632">
        <w:rPr>
          <w:rFonts w:cs="Times New Roman"/>
          <w:sz w:val="24"/>
          <w:szCs w:val="24"/>
        </w:rPr>
        <w:t>.</w:t>
      </w:r>
      <w:r w:rsidR="009C3D6C" w:rsidRPr="00FE5632">
        <w:rPr>
          <w:rFonts w:cs="Times New Roman"/>
          <w:b/>
          <w:sz w:val="24"/>
          <w:szCs w:val="24"/>
        </w:rPr>
        <w:t xml:space="preserve"> </w:t>
      </w:r>
      <w:r w:rsidR="009C3D6C" w:rsidRPr="00FE5632">
        <w:rPr>
          <w:rFonts w:cs="Times New Roman"/>
          <w:sz w:val="24"/>
          <w:szCs w:val="24"/>
        </w:rPr>
        <w:t>(a) Effects of TGFB1, TGFB2 and TGFB3 on</w:t>
      </w:r>
      <w:r w:rsidR="009C3D6C" w:rsidRPr="00FE5632">
        <w:rPr>
          <w:rFonts w:cs="Times New Roman"/>
          <w:i/>
          <w:iCs/>
          <w:kern w:val="0"/>
          <w:sz w:val="24"/>
          <w:szCs w:val="24"/>
        </w:rPr>
        <w:t xml:space="preserve"> Esr1 </w:t>
      </w:r>
      <w:r w:rsidR="009C3D6C" w:rsidRPr="00FE5632">
        <w:rPr>
          <w:rFonts w:cs="Times New Roman"/>
          <w:iCs/>
          <w:kern w:val="0"/>
          <w:sz w:val="24"/>
          <w:szCs w:val="24"/>
        </w:rPr>
        <w:t>and</w:t>
      </w:r>
      <w:r w:rsidR="009C3D6C" w:rsidRPr="00FE5632">
        <w:rPr>
          <w:rFonts w:cs="Times New Roman"/>
          <w:i/>
          <w:iCs/>
          <w:kern w:val="0"/>
          <w:sz w:val="24"/>
          <w:szCs w:val="24"/>
        </w:rPr>
        <w:t xml:space="preserve"> Esr2 </w:t>
      </w:r>
      <w:r w:rsidR="009C3D6C" w:rsidRPr="00FE5632">
        <w:rPr>
          <w:rFonts w:cs="Times New Roman"/>
          <w:sz w:val="24"/>
          <w:szCs w:val="24"/>
        </w:rPr>
        <w:t xml:space="preserve">mRNA levels in MGCs. </w:t>
      </w:r>
      <w:r w:rsidR="009C3D6C" w:rsidRPr="00FE5632">
        <w:rPr>
          <w:rFonts w:cs="Times New Roman"/>
          <w:kern w:val="0"/>
          <w:sz w:val="24"/>
          <w:szCs w:val="24"/>
        </w:rPr>
        <w:t>MGCs were collected from prepubertal mice and cultured for 24 h</w:t>
      </w:r>
      <w:r w:rsidR="009C3D6C" w:rsidRPr="00FE5632">
        <w:rPr>
          <w:rFonts w:cs="Times New Roman"/>
          <w:sz w:val="24"/>
          <w:szCs w:val="24"/>
        </w:rPr>
        <w:t xml:space="preserve"> </w:t>
      </w:r>
      <w:r w:rsidR="009C3D6C" w:rsidRPr="00FE5632">
        <w:rPr>
          <w:rFonts w:cs="Times New Roman"/>
          <w:kern w:val="0"/>
          <w:sz w:val="24"/>
          <w:szCs w:val="24"/>
        </w:rPr>
        <w:t xml:space="preserve">in </w:t>
      </w:r>
      <w:r w:rsidR="005C33F8" w:rsidRPr="00FE5632">
        <w:rPr>
          <w:rFonts w:cs="Times New Roman"/>
          <w:kern w:val="0"/>
          <w:sz w:val="24"/>
          <w:szCs w:val="24"/>
        </w:rPr>
        <w:t xml:space="preserve">cell </w:t>
      </w:r>
      <w:r w:rsidR="00BF5492" w:rsidRPr="00FE5632">
        <w:rPr>
          <w:rFonts w:cs="Times New Roman"/>
          <w:kern w:val="0"/>
          <w:sz w:val="24"/>
          <w:szCs w:val="24"/>
        </w:rPr>
        <w:t xml:space="preserve">culture </w:t>
      </w:r>
      <w:r w:rsidR="00AE1A66" w:rsidRPr="00FE5632">
        <w:rPr>
          <w:rFonts w:cs="Times New Roman"/>
          <w:kern w:val="0"/>
          <w:sz w:val="24"/>
          <w:szCs w:val="24"/>
        </w:rPr>
        <w:t>medium</w:t>
      </w:r>
      <w:r w:rsidR="009C3D6C" w:rsidRPr="00FE5632">
        <w:rPr>
          <w:rFonts w:cs="Times New Roman"/>
          <w:kern w:val="0"/>
          <w:sz w:val="24"/>
          <w:szCs w:val="24"/>
        </w:rPr>
        <w:t xml:space="preserve"> </w:t>
      </w:r>
      <w:r w:rsidR="009C3D6C" w:rsidRPr="00FE5632">
        <w:rPr>
          <w:rFonts w:cs="Times New Roman"/>
          <w:sz w:val="24"/>
          <w:szCs w:val="24"/>
        </w:rPr>
        <w:t xml:space="preserve">supplemented </w:t>
      </w:r>
      <w:r w:rsidR="009C3D6C" w:rsidRPr="00FE5632">
        <w:rPr>
          <w:rFonts w:cs="Times New Roman"/>
          <w:kern w:val="0"/>
          <w:sz w:val="24"/>
          <w:szCs w:val="24"/>
        </w:rPr>
        <w:t xml:space="preserve">with </w:t>
      </w:r>
      <w:r w:rsidR="009C3D6C" w:rsidRPr="00FE5632">
        <w:rPr>
          <w:rFonts w:cs="Times New Roman"/>
          <w:sz w:val="24"/>
          <w:szCs w:val="24"/>
        </w:rPr>
        <w:t>10 ng/ml TGFB1, 50 ng/ml TGFB2, or 10 ng/ml TGFB3</w:t>
      </w:r>
      <w:r w:rsidR="009C3D6C" w:rsidRPr="00FE5632">
        <w:rPr>
          <w:rFonts w:cs="Times New Roman"/>
          <w:kern w:val="0"/>
          <w:sz w:val="24"/>
          <w:szCs w:val="24"/>
        </w:rPr>
        <w:t>.</w:t>
      </w:r>
      <w:r w:rsidR="009C3D6C" w:rsidRPr="00FE5632">
        <w:rPr>
          <w:rFonts w:cs="Times New Roman"/>
          <w:sz w:val="24"/>
          <w:szCs w:val="24"/>
        </w:rPr>
        <w:t xml:space="preserve"> </w:t>
      </w:r>
      <w:r w:rsidR="009C3D6C" w:rsidRPr="00FE5632">
        <w:rPr>
          <w:rFonts w:cs="Times New Roman"/>
          <w:i/>
          <w:sz w:val="24"/>
          <w:szCs w:val="24"/>
        </w:rPr>
        <w:t>Esr1</w:t>
      </w:r>
      <w:r w:rsidR="009C3D6C" w:rsidRPr="00FE5632">
        <w:rPr>
          <w:rFonts w:cs="Times New Roman"/>
          <w:sz w:val="24"/>
          <w:szCs w:val="24"/>
        </w:rPr>
        <w:t xml:space="preserve"> and </w:t>
      </w:r>
      <w:r w:rsidR="009C3D6C" w:rsidRPr="00FE5632">
        <w:rPr>
          <w:rFonts w:cs="Times New Roman"/>
          <w:i/>
          <w:sz w:val="24"/>
          <w:szCs w:val="24"/>
        </w:rPr>
        <w:t>Esr2</w:t>
      </w:r>
      <w:r w:rsidR="009C3D6C" w:rsidRPr="00FE5632">
        <w:rPr>
          <w:rFonts w:cs="Times New Roman"/>
          <w:sz w:val="24"/>
          <w:szCs w:val="24"/>
        </w:rPr>
        <w:t xml:space="preserve"> are the corresponding gene names of ERα and ERβ. (b) Effects of E2 on</w:t>
      </w:r>
      <w:r w:rsidR="009C3D6C" w:rsidRPr="00FE5632">
        <w:rPr>
          <w:rFonts w:cs="Times New Roman"/>
          <w:i/>
          <w:iCs/>
          <w:kern w:val="0"/>
          <w:sz w:val="24"/>
          <w:szCs w:val="24"/>
        </w:rPr>
        <w:t xml:space="preserve"> Tgfb1, Tgfb3, Tgfbr1</w:t>
      </w:r>
      <w:r w:rsidR="009C3D6C" w:rsidRPr="00FE5632">
        <w:rPr>
          <w:rFonts w:cs="Times New Roman"/>
          <w:iCs/>
          <w:kern w:val="0"/>
          <w:sz w:val="24"/>
          <w:szCs w:val="24"/>
        </w:rPr>
        <w:t xml:space="preserve"> and</w:t>
      </w:r>
      <w:r w:rsidR="009C3D6C" w:rsidRPr="00FE5632">
        <w:rPr>
          <w:rFonts w:cs="Times New Roman"/>
          <w:i/>
          <w:iCs/>
          <w:kern w:val="0"/>
          <w:sz w:val="24"/>
          <w:szCs w:val="24"/>
        </w:rPr>
        <w:t xml:space="preserve"> Tgfbr2</w:t>
      </w:r>
      <w:r w:rsidR="009C3D6C" w:rsidRPr="00FE5632">
        <w:rPr>
          <w:rFonts w:cs="Times New Roman"/>
          <w:sz w:val="24"/>
          <w:szCs w:val="24"/>
        </w:rPr>
        <w:t xml:space="preserve"> mRNA levels in MGCs. </w:t>
      </w:r>
      <w:r w:rsidR="009C3D6C" w:rsidRPr="00FE5632">
        <w:rPr>
          <w:rFonts w:cs="Times New Roman"/>
          <w:kern w:val="0"/>
          <w:sz w:val="24"/>
          <w:szCs w:val="24"/>
        </w:rPr>
        <w:t xml:space="preserve">MGCs were collected from prepubertal mice and cultured for 24 h in </w:t>
      </w:r>
      <w:r w:rsidR="005C33F8" w:rsidRPr="00FE5632">
        <w:rPr>
          <w:rFonts w:cs="Times New Roman"/>
          <w:kern w:val="0"/>
          <w:sz w:val="24"/>
          <w:szCs w:val="24"/>
        </w:rPr>
        <w:t xml:space="preserve">cell </w:t>
      </w:r>
      <w:r w:rsidR="009C3D6C" w:rsidRPr="00FE5632">
        <w:rPr>
          <w:rFonts w:cs="Times New Roman"/>
          <w:kern w:val="0"/>
          <w:sz w:val="24"/>
          <w:szCs w:val="24"/>
        </w:rPr>
        <w:lastRenderedPageBreak/>
        <w:t xml:space="preserve">medium without or with 100 nmol/l </w:t>
      </w:r>
      <w:r w:rsidR="009C3D6C" w:rsidRPr="00FE5632">
        <w:rPr>
          <w:rFonts w:cs="Times New Roman"/>
          <w:sz w:val="24"/>
          <w:szCs w:val="24"/>
        </w:rPr>
        <w:t>E2</w:t>
      </w:r>
      <w:r w:rsidR="009C3D6C" w:rsidRPr="00FE5632">
        <w:rPr>
          <w:rFonts w:cs="Times New Roman"/>
          <w:kern w:val="0"/>
          <w:sz w:val="24"/>
          <w:szCs w:val="24"/>
        </w:rPr>
        <w:t>.</w:t>
      </w:r>
      <w:r w:rsidR="009C3D6C" w:rsidRPr="00FE5632">
        <w:rPr>
          <w:rFonts w:cs="Times New Roman"/>
          <w:sz w:val="24"/>
          <w:szCs w:val="24"/>
        </w:rPr>
        <w:t xml:space="preserve"> (c and d) Effects of </w:t>
      </w:r>
      <w:r w:rsidR="009C3D6C" w:rsidRPr="00FE5632">
        <w:rPr>
          <w:rFonts w:cs="Times New Roman"/>
          <w:kern w:val="0"/>
          <w:sz w:val="24"/>
          <w:szCs w:val="24"/>
        </w:rPr>
        <w:t>ICI182780 (ICI) and</w:t>
      </w:r>
      <w:r w:rsidR="009C3D6C" w:rsidRPr="00FE5632">
        <w:rPr>
          <w:rFonts w:cs="Times New Roman"/>
          <w:sz w:val="24"/>
          <w:szCs w:val="24"/>
        </w:rPr>
        <w:t xml:space="preserve"> SD208 (SD) on </w:t>
      </w:r>
      <w:r w:rsidR="009C3D6C" w:rsidRPr="00FE5632">
        <w:rPr>
          <w:rFonts w:cs="Times New Roman"/>
          <w:i/>
          <w:sz w:val="24"/>
          <w:szCs w:val="24"/>
        </w:rPr>
        <w:t>Nppc</w:t>
      </w:r>
      <w:r w:rsidR="009C3D6C" w:rsidRPr="00FE5632">
        <w:rPr>
          <w:rFonts w:cs="Times New Roman"/>
          <w:i/>
          <w:iCs/>
          <w:kern w:val="0"/>
          <w:sz w:val="24"/>
          <w:szCs w:val="24"/>
        </w:rPr>
        <w:t xml:space="preserve"> </w:t>
      </w:r>
      <w:r w:rsidR="009C3D6C" w:rsidRPr="00FE5632">
        <w:rPr>
          <w:rFonts w:cs="Times New Roman"/>
          <w:sz w:val="24"/>
          <w:szCs w:val="24"/>
        </w:rPr>
        <w:t xml:space="preserve">mRNA levels and oocyte meiotic resumption. Large antral follicles isolated from eCG-primed mice were cultured in </w:t>
      </w:r>
      <w:r w:rsidR="005C33F8" w:rsidRPr="00FE5632">
        <w:rPr>
          <w:rFonts w:cs="Times New Roman"/>
          <w:sz w:val="24"/>
          <w:szCs w:val="24"/>
        </w:rPr>
        <w:t xml:space="preserve">follicle </w:t>
      </w:r>
      <w:r w:rsidR="00BF5492" w:rsidRPr="00FE5632">
        <w:rPr>
          <w:rFonts w:cs="Times New Roman"/>
          <w:sz w:val="24"/>
          <w:szCs w:val="24"/>
        </w:rPr>
        <w:t xml:space="preserve">culture </w:t>
      </w:r>
      <w:r w:rsidR="009C3D6C" w:rsidRPr="00FE5632">
        <w:rPr>
          <w:rFonts w:cs="Times New Roman"/>
          <w:sz w:val="24"/>
          <w:szCs w:val="24"/>
        </w:rPr>
        <w:t xml:space="preserve">medium supplemented with </w:t>
      </w:r>
      <w:r w:rsidR="009C3D6C" w:rsidRPr="00FE5632">
        <w:rPr>
          <w:rFonts w:cs="Times New Roman"/>
          <w:kern w:val="0"/>
          <w:sz w:val="24"/>
          <w:szCs w:val="24"/>
        </w:rPr>
        <w:t xml:space="preserve">100 nmol/l </w:t>
      </w:r>
      <w:r w:rsidR="009C3D6C" w:rsidRPr="00FE5632">
        <w:rPr>
          <w:rFonts w:cs="Times New Roman"/>
          <w:sz w:val="24"/>
          <w:szCs w:val="24"/>
        </w:rPr>
        <w:t xml:space="preserve">E2, </w:t>
      </w:r>
      <w:r w:rsidR="009C3D6C" w:rsidRPr="00FE5632">
        <w:rPr>
          <w:rFonts w:cs="Times New Roman"/>
          <w:kern w:val="0"/>
          <w:sz w:val="24"/>
          <w:szCs w:val="24"/>
        </w:rPr>
        <w:t>10 μmol/l</w:t>
      </w:r>
      <w:r w:rsidR="009C3D6C" w:rsidRPr="00FE5632">
        <w:rPr>
          <w:rFonts w:cs="Times New Roman"/>
          <w:sz w:val="24"/>
          <w:szCs w:val="24"/>
        </w:rPr>
        <w:t xml:space="preserve"> </w:t>
      </w:r>
      <w:r w:rsidR="009C3D6C" w:rsidRPr="00FE5632">
        <w:rPr>
          <w:rFonts w:cs="Times New Roman"/>
          <w:kern w:val="0"/>
          <w:sz w:val="24"/>
          <w:szCs w:val="24"/>
        </w:rPr>
        <w:t>ICI182780,</w:t>
      </w:r>
      <w:r w:rsidR="009C3D6C" w:rsidRPr="00FE5632">
        <w:rPr>
          <w:rFonts w:cs="Times New Roman"/>
          <w:sz w:val="24"/>
          <w:szCs w:val="24"/>
        </w:rPr>
        <w:t xml:space="preserve"> TGF-β </w:t>
      </w:r>
      <w:r w:rsidR="009C3D6C" w:rsidRPr="00FE5632">
        <w:rPr>
          <w:rFonts w:cs="Times New Roman"/>
          <w:kern w:val="0"/>
          <w:sz w:val="24"/>
          <w:szCs w:val="24"/>
        </w:rPr>
        <w:t>(including 10 ng/ml TGFB1, 50 ng/ml TGFB2, 10 ng/ml TGFB3)</w:t>
      </w:r>
      <w:r w:rsidR="009C3D6C" w:rsidRPr="00FE5632">
        <w:rPr>
          <w:rFonts w:cs="Times New Roman"/>
          <w:sz w:val="24"/>
          <w:szCs w:val="24"/>
        </w:rPr>
        <w:t xml:space="preserve">, and/or 1 μmol/l SD208 for 4 h. At the end of culture, MGCs were collected from follicles for gene analysis (c), and the proportion of oocytes having undergone GVB was counted at the same time (d). Bars indicate the mean ± SEM of three experiments. </w:t>
      </w:r>
      <w:r w:rsidR="009C3D6C" w:rsidRPr="00FE5632">
        <w:rPr>
          <w:rFonts w:cs="Times New Roman"/>
          <w:i/>
          <w:sz w:val="24"/>
          <w:szCs w:val="24"/>
        </w:rPr>
        <w:t>n</w:t>
      </w:r>
      <w:r w:rsidR="009C3D6C" w:rsidRPr="00FE5632">
        <w:rPr>
          <w:rFonts w:cs="Times New Roman"/>
          <w:sz w:val="24"/>
          <w:szCs w:val="24"/>
        </w:rPr>
        <w:t xml:space="preserve"> = 30 for each treatment across all three replicates. </w:t>
      </w:r>
      <w:r w:rsidR="009C3D6C" w:rsidRPr="00FE5632">
        <w:rPr>
          <w:rFonts w:cs="Times New Roman"/>
          <w:kern w:val="0"/>
          <w:sz w:val="24"/>
          <w:szCs w:val="24"/>
        </w:rPr>
        <w:t>Values not indicated by the same letter are significantly different (</w:t>
      </w:r>
      <w:r w:rsidR="009C3D6C" w:rsidRPr="00FE5632">
        <w:rPr>
          <w:rFonts w:cs="Times New Roman"/>
          <w:i/>
          <w:kern w:val="0"/>
          <w:sz w:val="24"/>
          <w:szCs w:val="24"/>
        </w:rPr>
        <w:t xml:space="preserve">P </w:t>
      </w:r>
      <w:r w:rsidR="009C3D6C" w:rsidRPr="00FE5632">
        <w:rPr>
          <w:rFonts w:cs="Times New Roman"/>
          <w:kern w:val="0"/>
          <w:sz w:val="24"/>
          <w:szCs w:val="24"/>
        </w:rPr>
        <w:t>&lt; 0.05).</w:t>
      </w:r>
    </w:p>
    <w:p w:rsidR="009C3D6C" w:rsidRPr="00FE5632" w:rsidRDefault="009C3D6C" w:rsidP="00E1588B">
      <w:pPr>
        <w:autoSpaceDE w:val="0"/>
        <w:autoSpaceDN w:val="0"/>
        <w:adjustRightInd w:val="0"/>
        <w:snapToGrid w:val="0"/>
        <w:spacing w:line="360" w:lineRule="auto"/>
        <w:rPr>
          <w:rFonts w:cs="Times New Roman"/>
          <w:sz w:val="24"/>
          <w:szCs w:val="24"/>
        </w:rPr>
      </w:pPr>
    </w:p>
    <w:p w:rsidR="009C67CD" w:rsidRPr="00FE5632" w:rsidRDefault="009C67CD" w:rsidP="009C67CD">
      <w:pPr>
        <w:autoSpaceDE w:val="0"/>
        <w:autoSpaceDN w:val="0"/>
        <w:adjustRightInd w:val="0"/>
        <w:snapToGrid w:val="0"/>
        <w:spacing w:line="360" w:lineRule="auto"/>
        <w:rPr>
          <w:rFonts w:cs="Times New Roman"/>
          <w:sz w:val="24"/>
          <w:szCs w:val="24"/>
        </w:rPr>
      </w:pPr>
      <w:r w:rsidRPr="00FE5632">
        <w:rPr>
          <w:rFonts w:cs="Times New Roman"/>
          <w:b/>
          <w:sz w:val="24"/>
          <w:szCs w:val="24"/>
        </w:rPr>
        <w:t>Fig. S5 Effects of Smad3 expression vectors (pSmad3) on the transiently transfected Nppc gene promoters fused to</w:t>
      </w:r>
      <w:r w:rsidRPr="00FE5632">
        <w:rPr>
          <w:rFonts w:cs="Times New Roman" w:hint="eastAsia"/>
          <w:b/>
          <w:sz w:val="24"/>
          <w:szCs w:val="24"/>
        </w:rPr>
        <w:t xml:space="preserve"> </w:t>
      </w:r>
      <w:r w:rsidRPr="00FE5632">
        <w:rPr>
          <w:rFonts w:cs="Times New Roman"/>
          <w:b/>
          <w:sz w:val="24"/>
          <w:szCs w:val="24"/>
        </w:rPr>
        <w:t xml:space="preserve">luciferase reporter vectors were assayed. </w:t>
      </w:r>
      <w:r w:rsidRPr="00FE5632">
        <w:rPr>
          <w:rFonts w:cs="Times New Roman"/>
          <w:sz w:val="24"/>
          <w:szCs w:val="24"/>
        </w:rPr>
        <w:t xml:space="preserve">pNppc represents pGL3.0-basic plasmid containing 8 regions of the </w:t>
      </w:r>
      <w:r w:rsidRPr="00FE5632">
        <w:rPr>
          <w:rFonts w:cs="Times New Roman"/>
          <w:i/>
          <w:sz w:val="24"/>
          <w:szCs w:val="24"/>
        </w:rPr>
        <w:t>Nppc</w:t>
      </w:r>
      <w:r w:rsidRPr="00FE5632">
        <w:rPr>
          <w:rFonts w:cs="Times New Roman"/>
          <w:sz w:val="24"/>
          <w:szCs w:val="24"/>
        </w:rPr>
        <w:t xml:space="preserve"> promoter. Bars indicate the mean ± SEM of three independent replicates.</w:t>
      </w:r>
    </w:p>
    <w:p w:rsidR="009C67CD" w:rsidRPr="00FE5632" w:rsidRDefault="009C67CD" w:rsidP="00E1588B">
      <w:pPr>
        <w:autoSpaceDE w:val="0"/>
        <w:autoSpaceDN w:val="0"/>
        <w:adjustRightInd w:val="0"/>
        <w:snapToGrid w:val="0"/>
        <w:spacing w:line="360" w:lineRule="auto"/>
        <w:rPr>
          <w:rFonts w:cs="Times New Roman"/>
          <w:sz w:val="24"/>
          <w:szCs w:val="24"/>
        </w:rPr>
      </w:pPr>
    </w:p>
    <w:p w:rsidR="009C3D6C" w:rsidRPr="00FE5632" w:rsidRDefault="009C67CD" w:rsidP="00E1588B">
      <w:pPr>
        <w:autoSpaceDE w:val="0"/>
        <w:autoSpaceDN w:val="0"/>
        <w:adjustRightInd w:val="0"/>
        <w:snapToGrid w:val="0"/>
        <w:spacing w:line="360" w:lineRule="auto"/>
        <w:rPr>
          <w:rFonts w:cs="Times New Roman"/>
          <w:kern w:val="0"/>
          <w:sz w:val="24"/>
          <w:szCs w:val="24"/>
        </w:rPr>
      </w:pPr>
      <w:r w:rsidRPr="00FE5632">
        <w:rPr>
          <w:rFonts w:cs="Times New Roman"/>
          <w:b/>
          <w:sz w:val="24"/>
          <w:szCs w:val="24"/>
        </w:rPr>
        <w:t>Fig. S6</w:t>
      </w:r>
      <w:r w:rsidR="009C3D6C" w:rsidRPr="00FE5632">
        <w:rPr>
          <w:rFonts w:cs="Times New Roman"/>
          <w:b/>
          <w:sz w:val="24"/>
          <w:szCs w:val="24"/>
        </w:rPr>
        <w:t xml:space="preserve"> The effects of </w:t>
      </w:r>
      <w:r w:rsidR="009C3D6C" w:rsidRPr="00FE5632">
        <w:rPr>
          <w:rFonts w:cs="Times New Roman"/>
          <w:b/>
          <w:i/>
          <w:sz w:val="24"/>
          <w:szCs w:val="24"/>
        </w:rPr>
        <w:t>Tgfbr2</w:t>
      </w:r>
      <w:r w:rsidR="009C3D6C" w:rsidRPr="00FE5632">
        <w:rPr>
          <w:rFonts w:cs="Times New Roman"/>
          <w:b/>
          <w:sz w:val="24"/>
          <w:szCs w:val="24"/>
        </w:rPr>
        <w:t xml:space="preserve"> depletion on</w:t>
      </w:r>
      <w:r w:rsidR="005C33F8" w:rsidRPr="00FE5632">
        <w:rPr>
          <w:rFonts w:cs="Times New Roman"/>
          <w:b/>
          <w:i/>
          <w:sz w:val="24"/>
          <w:szCs w:val="24"/>
        </w:rPr>
        <w:t xml:space="preserve"> Cyp19a1</w:t>
      </w:r>
      <w:r w:rsidR="005C33F8" w:rsidRPr="00FE5632">
        <w:rPr>
          <w:rFonts w:cs="Times New Roman"/>
          <w:b/>
          <w:sz w:val="24"/>
          <w:szCs w:val="24"/>
        </w:rPr>
        <w:t>,</w:t>
      </w:r>
      <w:r w:rsidR="005C33F8" w:rsidRPr="00FE5632">
        <w:rPr>
          <w:rFonts w:cs="Times New Roman"/>
          <w:b/>
          <w:i/>
          <w:sz w:val="24"/>
          <w:szCs w:val="24"/>
        </w:rPr>
        <w:t xml:space="preserve"> Fshr</w:t>
      </w:r>
      <w:r w:rsidR="005C33F8" w:rsidRPr="00FE5632">
        <w:rPr>
          <w:rFonts w:cs="Times New Roman"/>
          <w:b/>
          <w:sz w:val="24"/>
          <w:szCs w:val="24"/>
        </w:rPr>
        <w:t>,</w:t>
      </w:r>
      <w:r w:rsidR="009C3D6C" w:rsidRPr="00FE5632">
        <w:rPr>
          <w:rFonts w:cs="Times New Roman"/>
          <w:b/>
          <w:i/>
          <w:sz w:val="24"/>
          <w:szCs w:val="24"/>
        </w:rPr>
        <w:t xml:space="preserve"> </w:t>
      </w:r>
      <w:r w:rsidR="009C3D6C" w:rsidRPr="00FE5632">
        <w:rPr>
          <w:rFonts w:cs="Times New Roman"/>
          <w:b/>
          <w:sz w:val="24"/>
          <w:szCs w:val="24"/>
        </w:rPr>
        <w:t xml:space="preserve">and </w:t>
      </w:r>
      <w:r w:rsidR="005C33F8" w:rsidRPr="00FE5632">
        <w:rPr>
          <w:rFonts w:cs="Times New Roman"/>
          <w:b/>
          <w:i/>
          <w:sz w:val="24"/>
          <w:szCs w:val="24"/>
        </w:rPr>
        <w:t>Lhcgr</w:t>
      </w:r>
      <w:r w:rsidR="009C3D6C" w:rsidRPr="00FE5632">
        <w:rPr>
          <w:rFonts w:cs="Times New Roman"/>
          <w:b/>
          <w:sz w:val="24"/>
          <w:szCs w:val="24"/>
        </w:rPr>
        <w:t xml:space="preserve"> mRNA, serum E2 concentration and follicle development</w:t>
      </w:r>
      <w:r w:rsidR="009C3D6C" w:rsidRPr="00FE5632">
        <w:rPr>
          <w:rFonts w:cs="Times New Roman"/>
          <w:sz w:val="24"/>
          <w:szCs w:val="24"/>
        </w:rPr>
        <w:t>. MGCs and</w:t>
      </w:r>
      <w:r w:rsidR="009C3D6C" w:rsidRPr="00FE5632">
        <w:rPr>
          <w:rFonts w:cs="Times New Roman"/>
          <w:kern w:val="0"/>
          <w:sz w:val="24"/>
          <w:szCs w:val="24"/>
        </w:rPr>
        <w:t xml:space="preserve"> serum were</w:t>
      </w:r>
      <w:r w:rsidR="005C33F8" w:rsidRPr="00FE5632">
        <w:rPr>
          <w:rFonts w:cs="Times New Roman"/>
          <w:sz w:val="24"/>
          <w:szCs w:val="24"/>
        </w:rPr>
        <w:t xml:space="preserve"> </w:t>
      </w:r>
      <w:r w:rsidR="009338F4" w:rsidRPr="00FE5632">
        <w:rPr>
          <w:rFonts w:cs="Times New Roman"/>
          <w:sz w:val="24"/>
          <w:szCs w:val="24"/>
        </w:rPr>
        <w:t>collect</w:t>
      </w:r>
      <w:r w:rsidR="005C33F8" w:rsidRPr="00FE5632">
        <w:rPr>
          <w:rFonts w:cs="Times New Roman"/>
          <w:sz w:val="24"/>
          <w:szCs w:val="24"/>
        </w:rPr>
        <w:t>ed from eCG-</w:t>
      </w:r>
      <w:r w:rsidR="009C3D6C" w:rsidRPr="00FE5632">
        <w:rPr>
          <w:rFonts w:cs="Times New Roman"/>
          <w:sz w:val="24"/>
          <w:szCs w:val="24"/>
        </w:rPr>
        <w:t xml:space="preserve">primed mice to analyze the gene expression of </w:t>
      </w:r>
      <w:r w:rsidR="005C33F8" w:rsidRPr="00FE5632">
        <w:rPr>
          <w:rFonts w:cs="Times New Roman"/>
          <w:i/>
          <w:sz w:val="24"/>
          <w:szCs w:val="24"/>
        </w:rPr>
        <w:t>Cyp19a1</w:t>
      </w:r>
      <w:r w:rsidR="005C33F8" w:rsidRPr="00FE5632">
        <w:rPr>
          <w:rFonts w:cs="Times New Roman"/>
          <w:sz w:val="24"/>
          <w:szCs w:val="24"/>
        </w:rPr>
        <w:t>,</w:t>
      </w:r>
      <w:r w:rsidR="005C33F8" w:rsidRPr="00FE5632">
        <w:rPr>
          <w:rFonts w:cs="Times New Roman"/>
          <w:i/>
          <w:sz w:val="24"/>
          <w:szCs w:val="24"/>
        </w:rPr>
        <w:t xml:space="preserve"> Fshr</w:t>
      </w:r>
      <w:r w:rsidR="005C33F8" w:rsidRPr="00FE5632">
        <w:rPr>
          <w:rFonts w:cs="Times New Roman"/>
          <w:sz w:val="24"/>
          <w:szCs w:val="24"/>
        </w:rPr>
        <w:t>,</w:t>
      </w:r>
      <w:r w:rsidR="005C33F8" w:rsidRPr="00FE5632">
        <w:rPr>
          <w:rFonts w:cs="Times New Roman"/>
          <w:i/>
          <w:sz w:val="24"/>
          <w:szCs w:val="24"/>
        </w:rPr>
        <w:t xml:space="preserve"> </w:t>
      </w:r>
      <w:r w:rsidR="005C33F8" w:rsidRPr="00FE5632">
        <w:rPr>
          <w:rFonts w:cs="Times New Roman"/>
          <w:sz w:val="24"/>
          <w:szCs w:val="24"/>
        </w:rPr>
        <w:t xml:space="preserve">and </w:t>
      </w:r>
      <w:r w:rsidR="005C33F8" w:rsidRPr="00FE5632">
        <w:rPr>
          <w:rFonts w:cs="Times New Roman"/>
          <w:i/>
          <w:sz w:val="24"/>
          <w:szCs w:val="24"/>
        </w:rPr>
        <w:t>Lhcgr</w:t>
      </w:r>
      <w:r w:rsidR="005C33F8" w:rsidRPr="00FE5632">
        <w:rPr>
          <w:rFonts w:cs="Times New Roman"/>
          <w:sz w:val="24"/>
          <w:szCs w:val="24"/>
        </w:rPr>
        <w:t xml:space="preserve"> </w:t>
      </w:r>
      <w:r w:rsidR="009C3D6C" w:rsidRPr="00FE5632">
        <w:rPr>
          <w:rFonts w:cs="Times New Roman"/>
          <w:sz w:val="24"/>
          <w:szCs w:val="24"/>
        </w:rPr>
        <w:t xml:space="preserve">(a), and the </w:t>
      </w:r>
      <w:r w:rsidR="005C33F8" w:rsidRPr="00FE5632">
        <w:rPr>
          <w:rFonts w:cs="Times New Roman"/>
          <w:kern w:val="0"/>
          <w:sz w:val="24"/>
          <w:szCs w:val="24"/>
        </w:rPr>
        <w:t xml:space="preserve">E2 concentration </w:t>
      </w:r>
      <w:r w:rsidR="009C3D6C" w:rsidRPr="00FE5632">
        <w:rPr>
          <w:rFonts w:cs="Times New Roman"/>
          <w:sz w:val="24"/>
          <w:szCs w:val="24"/>
        </w:rPr>
        <w:t>(b)</w:t>
      </w:r>
      <w:r w:rsidR="005C33F8" w:rsidRPr="00FE5632">
        <w:rPr>
          <w:rFonts w:cs="Times New Roman"/>
          <w:sz w:val="24"/>
          <w:szCs w:val="24"/>
        </w:rPr>
        <w:t>, respectively</w:t>
      </w:r>
      <w:r w:rsidR="009C3D6C" w:rsidRPr="00FE5632">
        <w:rPr>
          <w:rFonts w:cs="Times New Roman"/>
          <w:sz w:val="24"/>
          <w:szCs w:val="24"/>
        </w:rPr>
        <w:t xml:space="preserve">. The number of large antral follicles was counted </w:t>
      </w:r>
      <w:r w:rsidR="005C33F8" w:rsidRPr="00FE5632">
        <w:rPr>
          <w:rFonts w:cs="Times New Roman"/>
          <w:kern w:val="0"/>
          <w:sz w:val="24"/>
          <w:szCs w:val="24"/>
        </w:rPr>
        <w:t>by examining serial sections through the entire ovary</w:t>
      </w:r>
      <w:r w:rsidR="005C33F8" w:rsidRPr="00FE5632">
        <w:rPr>
          <w:rFonts w:cs="Times New Roman"/>
          <w:sz w:val="24"/>
          <w:szCs w:val="24"/>
        </w:rPr>
        <w:t xml:space="preserve"> </w:t>
      </w:r>
      <w:r w:rsidR="009C3D6C" w:rsidRPr="00FE5632">
        <w:rPr>
          <w:rFonts w:cs="Times New Roman"/>
          <w:sz w:val="24"/>
          <w:szCs w:val="24"/>
        </w:rPr>
        <w:t xml:space="preserve">of eCG-primed mice (c). Bars indicate the mean ± SEM of three experiments. Values not indicated by the same letter are significantly different </w:t>
      </w:r>
      <w:r w:rsidR="009C3D6C" w:rsidRPr="00FE5632">
        <w:rPr>
          <w:rFonts w:cs="Times New Roman"/>
          <w:kern w:val="0"/>
          <w:sz w:val="24"/>
          <w:szCs w:val="24"/>
        </w:rPr>
        <w:t>(</w:t>
      </w:r>
      <w:r w:rsidR="009C3D6C" w:rsidRPr="00FE5632">
        <w:rPr>
          <w:rFonts w:cs="Times New Roman"/>
          <w:i/>
          <w:kern w:val="0"/>
          <w:sz w:val="24"/>
          <w:szCs w:val="24"/>
        </w:rPr>
        <w:t xml:space="preserve">P </w:t>
      </w:r>
      <w:r w:rsidR="009C3D6C" w:rsidRPr="00FE5632">
        <w:rPr>
          <w:rFonts w:cs="Times New Roman"/>
          <w:kern w:val="0"/>
          <w:sz w:val="24"/>
          <w:szCs w:val="24"/>
        </w:rPr>
        <w:t>&lt; 0.05).</w:t>
      </w:r>
    </w:p>
    <w:p w:rsidR="009C3D6C" w:rsidRPr="00FE5632" w:rsidRDefault="009C3D6C" w:rsidP="00E1588B">
      <w:pPr>
        <w:autoSpaceDE w:val="0"/>
        <w:autoSpaceDN w:val="0"/>
        <w:adjustRightInd w:val="0"/>
        <w:snapToGrid w:val="0"/>
        <w:spacing w:line="360" w:lineRule="auto"/>
        <w:rPr>
          <w:rFonts w:cs="Times New Roman"/>
          <w:sz w:val="24"/>
          <w:szCs w:val="24"/>
        </w:rPr>
      </w:pPr>
    </w:p>
    <w:p w:rsidR="00E1588B" w:rsidRPr="00FE5632" w:rsidRDefault="00E1588B">
      <w:pPr>
        <w:widowControl/>
        <w:spacing w:line="240" w:lineRule="auto"/>
        <w:jc w:val="left"/>
        <w:rPr>
          <w:rFonts w:cs="Times New Roman"/>
          <w:b/>
          <w:bCs/>
          <w:color w:val="000000"/>
          <w:kern w:val="0"/>
          <w:sz w:val="24"/>
          <w:szCs w:val="24"/>
        </w:rPr>
      </w:pPr>
      <w:r w:rsidRPr="00FE5632">
        <w:rPr>
          <w:rFonts w:cs="Times New Roman"/>
          <w:b/>
          <w:bCs/>
        </w:rPr>
        <w:br w:type="page"/>
      </w:r>
    </w:p>
    <w:p w:rsidR="00BF5492" w:rsidRPr="00FE5632" w:rsidRDefault="00BF5492" w:rsidP="00E1588B">
      <w:pPr>
        <w:adjustRightInd w:val="0"/>
        <w:snapToGrid w:val="0"/>
        <w:spacing w:line="360" w:lineRule="auto"/>
        <w:ind w:rightChars="-27" w:right="-57"/>
        <w:rPr>
          <w:rFonts w:cs="Times New Roman"/>
          <w:b/>
          <w:kern w:val="0"/>
          <w:sz w:val="24"/>
          <w:szCs w:val="24"/>
        </w:rPr>
      </w:pPr>
      <w:r w:rsidRPr="00FE5632">
        <w:rPr>
          <w:rFonts w:cs="Times New Roman"/>
          <w:b/>
          <w:kern w:val="0"/>
          <w:sz w:val="24"/>
          <w:szCs w:val="24"/>
        </w:rPr>
        <w:lastRenderedPageBreak/>
        <w:t xml:space="preserve">Supplementary Tables </w:t>
      </w:r>
    </w:p>
    <w:p w:rsidR="00BF5492" w:rsidRPr="00FE5632" w:rsidRDefault="00BF5492" w:rsidP="00E1588B">
      <w:pPr>
        <w:adjustRightInd w:val="0"/>
        <w:snapToGrid w:val="0"/>
        <w:spacing w:line="360" w:lineRule="auto"/>
        <w:ind w:rightChars="-27" w:right="-57"/>
        <w:rPr>
          <w:rFonts w:cs="Times New Roman"/>
          <w:b/>
          <w:kern w:val="0"/>
          <w:sz w:val="24"/>
          <w:szCs w:val="24"/>
        </w:rPr>
      </w:pPr>
    </w:p>
    <w:p w:rsidR="00BF5492" w:rsidRPr="00FE5632" w:rsidRDefault="00BF5492" w:rsidP="00E1588B">
      <w:pPr>
        <w:adjustRightInd w:val="0"/>
        <w:snapToGrid w:val="0"/>
        <w:spacing w:line="360" w:lineRule="auto"/>
        <w:rPr>
          <w:rFonts w:cs="Times New Roman"/>
          <w:b/>
          <w:bCs/>
          <w:sz w:val="24"/>
          <w:szCs w:val="24"/>
        </w:rPr>
      </w:pPr>
      <w:r w:rsidRPr="00FE5632">
        <w:rPr>
          <w:rFonts w:cs="Times New Roman"/>
          <w:b/>
          <w:bCs/>
          <w:sz w:val="24"/>
          <w:szCs w:val="24"/>
        </w:rPr>
        <w:t>Table S1: Primers for RT-qPCR</w:t>
      </w:r>
    </w:p>
    <w:p w:rsidR="00BF5492" w:rsidRPr="00FE5632" w:rsidRDefault="00BF5492" w:rsidP="00E1588B">
      <w:pPr>
        <w:adjustRightInd w:val="0"/>
        <w:snapToGrid w:val="0"/>
        <w:spacing w:line="360" w:lineRule="auto"/>
        <w:rPr>
          <w:rFonts w:cs="Times New Roman"/>
          <w:b/>
          <w:bCs/>
          <w:sz w:val="24"/>
          <w:szCs w:val="24"/>
        </w:rPr>
      </w:pPr>
    </w:p>
    <w:tbl>
      <w:tblPr>
        <w:tblW w:w="54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3969"/>
        <w:gridCol w:w="4136"/>
      </w:tblGrid>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Genes</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Forward primer (5’-3’)</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Reverse primer (5’-3’)</w:t>
            </w:r>
          </w:p>
        </w:tc>
      </w:tr>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Tgfb1</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CTCCCGTGGCTTCTAGTGC</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GCCTTAGTTTGGACAGGATCTG</w:t>
            </w:r>
          </w:p>
        </w:tc>
      </w:tr>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Tgfb2</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CTTCGACGTGACAGACGCT</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GCAGGGGCAGTGTAAACTTATT</w:t>
            </w:r>
          </w:p>
        </w:tc>
      </w:tr>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Tgfb3</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CCTGGCCCTGCTGAACTTG</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TTGATGTGGCCGAAGTCCAAC</w:t>
            </w:r>
          </w:p>
        </w:tc>
      </w:tr>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Tgfbr1</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TCTGCATTGCACTTATGCTGA</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AAAGGGCGATCTAGTGATGGA</w:t>
            </w:r>
          </w:p>
        </w:tc>
      </w:tr>
      <w:tr w:rsidR="00BF5492" w:rsidRPr="00FE5632" w:rsidTr="00E1588B">
        <w:trPr>
          <w:jc w:val="center"/>
        </w:trPr>
        <w:tc>
          <w:tcPr>
            <w:tcW w:w="1217"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Tgfbr2</w:t>
            </w:r>
          </w:p>
        </w:tc>
        <w:tc>
          <w:tcPr>
            <w:tcW w:w="3969"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TTGGATTGCCAGTGCTAACCC</w:t>
            </w:r>
          </w:p>
        </w:tc>
        <w:tc>
          <w:tcPr>
            <w:tcW w:w="4136"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AACAAGCCACAGTAACATGACA</w:t>
            </w:r>
          </w:p>
        </w:tc>
      </w:tr>
      <w:tr w:rsidR="00BF5492" w:rsidRPr="00FE5632" w:rsidTr="00E1588B">
        <w:trPr>
          <w:jc w:val="center"/>
        </w:trPr>
        <w:tc>
          <w:tcPr>
            <w:tcW w:w="1217"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Esr1</w:t>
            </w:r>
          </w:p>
        </w:tc>
        <w:tc>
          <w:tcPr>
            <w:tcW w:w="3969"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CCTCCCGCCTTCTACAGGT</w:t>
            </w:r>
          </w:p>
        </w:tc>
        <w:tc>
          <w:tcPr>
            <w:tcW w:w="4136"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CACACGGCACAGTAGCGAG</w:t>
            </w:r>
          </w:p>
        </w:tc>
      </w:tr>
      <w:tr w:rsidR="00BF5492" w:rsidRPr="00FE5632" w:rsidTr="00E1588B">
        <w:trPr>
          <w:jc w:val="center"/>
        </w:trPr>
        <w:tc>
          <w:tcPr>
            <w:tcW w:w="1217"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Esr2</w:t>
            </w:r>
          </w:p>
        </w:tc>
        <w:tc>
          <w:tcPr>
            <w:tcW w:w="3969"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CTGTGCCTCTTCTCACAAGGA</w:t>
            </w:r>
          </w:p>
        </w:tc>
        <w:tc>
          <w:tcPr>
            <w:tcW w:w="4136"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TGCTCCAAGGGTAGGATGGAC</w:t>
            </w:r>
          </w:p>
        </w:tc>
      </w:tr>
      <w:tr w:rsidR="00BF5492" w:rsidRPr="00FE5632" w:rsidTr="00E1588B">
        <w:trPr>
          <w:jc w:val="center"/>
        </w:trPr>
        <w:tc>
          <w:tcPr>
            <w:tcW w:w="1217"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Lhcgr</w:t>
            </w:r>
          </w:p>
        </w:tc>
        <w:tc>
          <w:tcPr>
            <w:tcW w:w="3969"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CGCCCGACTATCTCTCACCTA</w:t>
            </w:r>
          </w:p>
        </w:tc>
        <w:tc>
          <w:tcPr>
            <w:tcW w:w="4136"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GACAGATTGAGGAGGTTGTCAAA</w:t>
            </w:r>
          </w:p>
        </w:tc>
      </w:tr>
      <w:tr w:rsidR="00BF5492" w:rsidRPr="00FE5632" w:rsidTr="00E1588B">
        <w:trPr>
          <w:jc w:val="center"/>
        </w:trPr>
        <w:tc>
          <w:tcPr>
            <w:tcW w:w="1217"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Fshr</w:t>
            </w:r>
          </w:p>
        </w:tc>
        <w:tc>
          <w:tcPr>
            <w:tcW w:w="3969"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CCTTGCTCCTGGTCTCCTTG</w:t>
            </w:r>
          </w:p>
        </w:tc>
        <w:tc>
          <w:tcPr>
            <w:tcW w:w="4136"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CTCGGTCACCTTGCTATCTTG</w:t>
            </w:r>
          </w:p>
        </w:tc>
      </w:tr>
      <w:tr w:rsidR="00BF5492" w:rsidRPr="00FE5632" w:rsidTr="00E1588B">
        <w:trPr>
          <w:jc w:val="center"/>
        </w:trPr>
        <w:tc>
          <w:tcPr>
            <w:tcW w:w="1217"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Cyp19a1</w:t>
            </w:r>
          </w:p>
        </w:tc>
        <w:tc>
          <w:tcPr>
            <w:tcW w:w="3969"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ATGTTCTTGGAAATGCTGAACCC</w:t>
            </w:r>
          </w:p>
        </w:tc>
        <w:tc>
          <w:tcPr>
            <w:tcW w:w="4136" w:type="dxa"/>
            <w:shd w:val="clear" w:color="auto" w:fill="auto"/>
            <w:noWrap/>
            <w:vAlign w:val="center"/>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AGGACCTGGTATTGAAGACGAG</w:t>
            </w:r>
          </w:p>
        </w:tc>
      </w:tr>
    </w:tbl>
    <w:p w:rsidR="00BF5492" w:rsidRPr="00FE5632" w:rsidRDefault="00BF5492" w:rsidP="00E1588B">
      <w:pPr>
        <w:adjustRightInd w:val="0"/>
        <w:snapToGrid w:val="0"/>
        <w:spacing w:line="360" w:lineRule="auto"/>
        <w:rPr>
          <w:rFonts w:cs="Times New Roman"/>
          <w:sz w:val="24"/>
          <w:szCs w:val="24"/>
        </w:rPr>
      </w:pPr>
    </w:p>
    <w:p w:rsidR="00E1588B" w:rsidRPr="00FE5632" w:rsidRDefault="00E1588B">
      <w:pPr>
        <w:widowControl/>
        <w:spacing w:line="240" w:lineRule="auto"/>
        <w:jc w:val="left"/>
        <w:rPr>
          <w:rFonts w:cs="Times New Roman"/>
          <w:b/>
          <w:bCs/>
          <w:sz w:val="24"/>
          <w:szCs w:val="24"/>
        </w:rPr>
      </w:pPr>
      <w:r w:rsidRPr="00FE5632">
        <w:rPr>
          <w:rFonts w:cs="Times New Roman"/>
          <w:b/>
          <w:bCs/>
          <w:sz w:val="24"/>
          <w:szCs w:val="24"/>
        </w:rPr>
        <w:br w:type="page"/>
      </w:r>
    </w:p>
    <w:p w:rsidR="00BF5492" w:rsidRPr="00FE5632" w:rsidRDefault="00BF5492" w:rsidP="00E1588B">
      <w:pPr>
        <w:adjustRightInd w:val="0"/>
        <w:snapToGrid w:val="0"/>
        <w:spacing w:line="360" w:lineRule="auto"/>
        <w:rPr>
          <w:rFonts w:cs="Times New Roman"/>
          <w:b/>
          <w:bCs/>
          <w:sz w:val="24"/>
          <w:szCs w:val="24"/>
        </w:rPr>
      </w:pPr>
      <w:r w:rsidRPr="00FE5632">
        <w:rPr>
          <w:rFonts w:cs="Times New Roman"/>
          <w:b/>
          <w:bCs/>
          <w:sz w:val="24"/>
          <w:szCs w:val="24"/>
        </w:rPr>
        <w:lastRenderedPageBreak/>
        <w:t>Table S2: Primers for the ChIP assay</w:t>
      </w:r>
    </w:p>
    <w:p w:rsidR="00BF5492" w:rsidRPr="00FE5632" w:rsidRDefault="00BF5492" w:rsidP="00E1588B">
      <w:pPr>
        <w:adjustRightInd w:val="0"/>
        <w:snapToGrid w:val="0"/>
        <w:spacing w:line="360" w:lineRule="auto"/>
        <w:rPr>
          <w:rFonts w:cs="Times New Roman"/>
          <w:sz w:val="24"/>
          <w:szCs w:val="24"/>
        </w:rPr>
      </w:pP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3697"/>
        <w:gridCol w:w="3924"/>
      </w:tblGrid>
      <w:tr w:rsidR="00BF5492" w:rsidRPr="00FE5632" w:rsidTr="00E1588B">
        <w:trPr>
          <w:trHeight w:val="375"/>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Genes</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Forward primer (5’-3’)</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b/>
                <w:color w:val="000000"/>
                <w:kern w:val="0"/>
                <w:sz w:val="24"/>
                <w:szCs w:val="24"/>
              </w:rPr>
            </w:pPr>
            <w:r w:rsidRPr="00FE5632">
              <w:rPr>
                <w:rFonts w:eastAsia="宋体" w:cs="Times New Roman"/>
                <w:b/>
                <w:color w:val="000000"/>
                <w:kern w:val="0"/>
                <w:sz w:val="24"/>
                <w:szCs w:val="24"/>
              </w:rPr>
              <w:t>Reverse primer (5’-3’)</w:t>
            </w:r>
          </w:p>
        </w:tc>
      </w:tr>
      <w:tr w:rsidR="00BF5492" w:rsidRPr="00FE5632" w:rsidTr="00E1588B">
        <w:trPr>
          <w:trHeight w:val="27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Nppc-R1</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ATGGCCTATTGAGGCTTGGA</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TTCAGTGATGTACTGGCCCTTC</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Nppc-R2</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TTCAGGAAGGGCCAGTACATC</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TCCTGTCTTGGTAATGGGCTG</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Nppc-R3</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ACCAGCCCATTACCAAGACAG</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ATCCAAGCTTTGAGACCGCA</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Nppc-R4</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TGGTACTCTCCTGCCCCTTA</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GTTCTGGAAGGTTGGTGGCT</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Nppc-R5</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ATGGAGATGAGCCACCAACC</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GTGCCGTCTACTTCCTCGTC</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Nppc-R6</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ACGGCACACTCAGTACACTC</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CAGGCTTGAGCGAGGGAAAT</w:t>
            </w:r>
          </w:p>
        </w:tc>
      </w:tr>
      <w:tr w:rsidR="00BF5492" w:rsidRPr="00FE5632" w:rsidTr="00E1588B">
        <w:trPr>
          <w:trHeight w:val="27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Nppc-R7</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GGGACCCTGCCAACATTCAT</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TCTCGGATACCCACGAGTGA</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Nppc-R8</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AACCCCAAACTCAATGGCGA</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GTGCGGCCCAAAATCTACAC</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Nppc-R9</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GGCACGGGAAGAGCAATGGG</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CTGTCGGAGAAAAGAGTGGA</w:t>
            </w:r>
          </w:p>
        </w:tc>
      </w:tr>
      <w:tr w:rsidR="00BF5492" w:rsidRPr="00FE5632" w:rsidTr="00E1588B">
        <w:trPr>
          <w:trHeight w:val="300"/>
          <w:jc w:val="center"/>
        </w:trPr>
        <w:tc>
          <w:tcPr>
            <w:tcW w:w="1178"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i/>
                <w:iCs/>
                <w:color w:val="000000"/>
                <w:kern w:val="0"/>
                <w:sz w:val="24"/>
                <w:szCs w:val="24"/>
              </w:rPr>
            </w:pPr>
            <w:r w:rsidRPr="00FE5632">
              <w:rPr>
                <w:rFonts w:eastAsia="宋体" w:cs="Times New Roman"/>
                <w:i/>
                <w:iCs/>
                <w:color w:val="000000"/>
                <w:kern w:val="0"/>
                <w:sz w:val="24"/>
                <w:szCs w:val="24"/>
              </w:rPr>
              <w:t>Nppc-R10</w:t>
            </w:r>
          </w:p>
        </w:tc>
        <w:tc>
          <w:tcPr>
            <w:tcW w:w="3653"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GTCCCGAGAACCCCGCCAGG</w:t>
            </w:r>
          </w:p>
        </w:tc>
        <w:tc>
          <w:tcPr>
            <w:tcW w:w="3924" w:type="dxa"/>
            <w:shd w:val="clear" w:color="auto" w:fill="auto"/>
            <w:noWrap/>
            <w:vAlign w:val="center"/>
            <w:hideMark/>
          </w:tcPr>
          <w:p w:rsidR="00BF5492" w:rsidRPr="00FE5632" w:rsidRDefault="00BF5492" w:rsidP="00E1588B">
            <w:pPr>
              <w:widowControl/>
              <w:adjustRightInd w:val="0"/>
              <w:snapToGrid w:val="0"/>
              <w:spacing w:line="360" w:lineRule="auto"/>
              <w:jc w:val="left"/>
              <w:rPr>
                <w:rFonts w:eastAsia="宋体" w:cs="Times New Roman"/>
                <w:color w:val="000000"/>
                <w:kern w:val="0"/>
                <w:sz w:val="24"/>
                <w:szCs w:val="24"/>
              </w:rPr>
            </w:pPr>
            <w:r w:rsidRPr="00FE5632">
              <w:rPr>
                <w:rFonts w:eastAsia="宋体" w:cs="Times New Roman"/>
                <w:color w:val="000000"/>
                <w:kern w:val="0"/>
                <w:sz w:val="24"/>
                <w:szCs w:val="24"/>
              </w:rPr>
              <w:t>CTCGTGCAGAAGGCGGGCCC</w:t>
            </w:r>
          </w:p>
        </w:tc>
      </w:tr>
    </w:tbl>
    <w:p w:rsidR="00BF5492" w:rsidRPr="00FE5632" w:rsidRDefault="00BF5492" w:rsidP="00E1588B">
      <w:pPr>
        <w:adjustRightInd w:val="0"/>
        <w:snapToGrid w:val="0"/>
        <w:spacing w:line="360" w:lineRule="auto"/>
        <w:rPr>
          <w:rFonts w:cs="Times New Roman"/>
          <w:b/>
          <w:bCs/>
          <w:sz w:val="24"/>
          <w:szCs w:val="24"/>
        </w:rPr>
      </w:pPr>
    </w:p>
    <w:p w:rsidR="00E1588B" w:rsidRPr="00FE5632" w:rsidRDefault="00E1588B">
      <w:pPr>
        <w:widowControl/>
        <w:spacing w:line="240" w:lineRule="auto"/>
        <w:jc w:val="left"/>
        <w:rPr>
          <w:rFonts w:cs="Times New Roman"/>
          <w:b/>
          <w:bCs/>
          <w:sz w:val="24"/>
          <w:szCs w:val="24"/>
        </w:rPr>
      </w:pPr>
      <w:r w:rsidRPr="00FE5632">
        <w:rPr>
          <w:rFonts w:cs="Times New Roman"/>
          <w:b/>
          <w:bCs/>
          <w:sz w:val="24"/>
          <w:szCs w:val="24"/>
        </w:rPr>
        <w:br w:type="page"/>
      </w:r>
    </w:p>
    <w:p w:rsidR="00BF5492" w:rsidRPr="00FE5632" w:rsidRDefault="00BF5492" w:rsidP="00E1588B">
      <w:pPr>
        <w:adjustRightInd w:val="0"/>
        <w:snapToGrid w:val="0"/>
        <w:spacing w:line="360" w:lineRule="auto"/>
        <w:rPr>
          <w:rFonts w:cs="Times New Roman"/>
          <w:b/>
          <w:bCs/>
          <w:sz w:val="24"/>
          <w:szCs w:val="24"/>
        </w:rPr>
      </w:pPr>
      <w:r w:rsidRPr="00FE5632">
        <w:rPr>
          <w:rFonts w:cs="Times New Roman"/>
          <w:b/>
          <w:bCs/>
          <w:sz w:val="24"/>
          <w:szCs w:val="24"/>
        </w:rPr>
        <w:lastRenderedPageBreak/>
        <w:t>Table S3: Primers for plasmid construction</w:t>
      </w:r>
    </w:p>
    <w:p w:rsidR="00E97B77" w:rsidRPr="00FE5632" w:rsidRDefault="00E97B77" w:rsidP="00E97B77">
      <w:pPr>
        <w:adjustRightInd w:val="0"/>
        <w:snapToGrid w:val="0"/>
        <w:spacing w:line="360" w:lineRule="auto"/>
        <w:rPr>
          <w:rFonts w:cs="Times New Roman"/>
          <w:b/>
          <w:bCs/>
          <w:sz w:val="24"/>
          <w:szCs w:val="24"/>
        </w:rPr>
      </w:pP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685"/>
        <w:gridCol w:w="3827"/>
      </w:tblGrid>
      <w:tr w:rsidR="00E97B77" w:rsidRPr="00FE5632" w:rsidTr="006A043D">
        <w:trPr>
          <w:trHeight w:val="375"/>
        </w:trPr>
        <w:tc>
          <w:tcPr>
            <w:tcW w:w="778"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b/>
                <w:color w:val="000000"/>
                <w:kern w:val="0"/>
                <w:sz w:val="24"/>
                <w:szCs w:val="24"/>
              </w:rPr>
              <w:t>Genes</w:t>
            </w:r>
          </w:p>
        </w:tc>
        <w:tc>
          <w:tcPr>
            <w:tcW w:w="207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b/>
                <w:color w:val="000000"/>
                <w:kern w:val="0"/>
                <w:sz w:val="24"/>
                <w:szCs w:val="24"/>
              </w:rPr>
              <w:t>Forward primer (5’-3’)</w:t>
            </w:r>
          </w:p>
        </w:tc>
        <w:tc>
          <w:tcPr>
            <w:tcW w:w="215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b/>
                <w:color w:val="000000"/>
                <w:kern w:val="0"/>
                <w:sz w:val="24"/>
                <w:szCs w:val="24"/>
              </w:rPr>
              <w:t>Reverse primer (5’-3’)</w:t>
            </w:r>
          </w:p>
        </w:tc>
      </w:tr>
      <w:tr w:rsidR="00E97B77" w:rsidRPr="00FE5632" w:rsidTr="006A043D">
        <w:trPr>
          <w:trHeight w:val="375"/>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i/>
                <w:iCs/>
                <w:color w:val="000000"/>
                <w:kern w:val="0"/>
                <w:sz w:val="24"/>
                <w:szCs w:val="24"/>
              </w:rPr>
              <w:t>pNppc-R1</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color w:val="000000"/>
                <w:kern w:val="0"/>
                <w:sz w:val="24"/>
                <w:szCs w:val="24"/>
              </w:rPr>
              <w:t>ACGCGTTGGTACTCTCCTGCCCCTTA</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b/>
                <w:color w:val="000000"/>
                <w:kern w:val="0"/>
                <w:sz w:val="24"/>
                <w:szCs w:val="24"/>
              </w:rPr>
            </w:pPr>
            <w:r w:rsidRPr="00FE5632">
              <w:rPr>
                <w:rFonts w:eastAsia="宋体" w:cs="Times New Roman"/>
                <w:color w:val="000000"/>
                <w:kern w:val="0"/>
                <w:sz w:val="24"/>
                <w:szCs w:val="24"/>
              </w:rPr>
              <w:t>CTCGAGGTTCTGGAAGGTTGGTGGCT</w:t>
            </w:r>
          </w:p>
        </w:tc>
      </w:tr>
      <w:tr w:rsidR="00E97B77" w:rsidRPr="00FE5632" w:rsidTr="006A043D">
        <w:trPr>
          <w:trHeight w:val="300"/>
        </w:trPr>
        <w:tc>
          <w:tcPr>
            <w:tcW w:w="778"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pNppc-R2</w:t>
            </w:r>
          </w:p>
        </w:tc>
        <w:tc>
          <w:tcPr>
            <w:tcW w:w="207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GACGCGTGCTATCAAGACTGAACAGTCCCA</w:t>
            </w:r>
          </w:p>
        </w:tc>
        <w:tc>
          <w:tcPr>
            <w:tcW w:w="215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CCTCGAGGCCTAAGGGGCAGGAGAGTA</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pNppc-R3</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ACGCGTACCAGCCCATTACCAAGACAG</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CCTCGAGATCCAAGCTTTGAGACCGCA</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pNppc-R4</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GACGCGTTGGTACTCTCCTGCCCCTTA</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CCTCGAGGTTCTGGAAGGTTGGTGGCT</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pNppc-R5</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ACGCGTATGGAGATGAGCCACCAACC</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CTCGAGGTGCCGTCTACTTCCTCGTC</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pNppc-R6</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ACGCGTCACGGCACACTCAGTACACTC</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CTCGAGCAGGCTTGAGCGAGGGAAAT</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pNppc-R7</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ACGCGTGGGACCCTGCCAACATTCAT</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CTCGAGTCTCGGATACCCACGAGTGA</w:t>
            </w:r>
          </w:p>
        </w:tc>
      </w:tr>
      <w:tr w:rsidR="00E97B77" w:rsidRPr="00FE5632" w:rsidTr="006A043D">
        <w:trPr>
          <w:trHeight w:val="300"/>
        </w:trPr>
        <w:tc>
          <w:tcPr>
            <w:tcW w:w="778"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pNppc-R8</w:t>
            </w:r>
          </w:p>
        </w:tc>
        <w:tc>
          <w:tcPr>
            <w:tcW w:w="207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GACGCGTACCTTCCAGAACTGACAAAGG</w:t>
            </w:r>
          </w:p>
        </w:tc>
        <w:tc>
          <w:tcPr>
            <w:tcW w:w="215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CCTCGAGACTGAGTGTGCCGTCTACTT</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pNppc-R9</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ACGCGTCGGCACGGGAAGAGCAATGGG</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CTCGAGGCTGTCGGAGAAAAGAGTGGA</w:t>
            </w:r>
          </w:p>
        </w:tc>
      </w:tr>
      <w:tr w:rsidR="00E97B77" w:rsidRPr="00FE5632" w:rsidTr="006A043D">
        <w:trPr>
          <w:trHeight w:val="300"/>
        </w:trPr>
        <w:tc>
          <w:tcPr>
            <w:tcW w:w="778"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pNppc-R10</w:t>
            </w:r>
          </w:p>
        </w:tc>
        <w:tc>
          <w:tcPr>
            <w:tcW w:w="207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GACGCGTGTCCCGAGAACCCCGCCAGG</w:t>
            </w:r>
          </w:p>
        </w:tc>
        <w:tc>
          <w:tcPr>
            <w:tcW w:w="2151" w:type="pct"/>
            <w:shd w:val="clear" w:color="auto" w:fill="auto"/>
            <w:noWrap/>
            <w:vAlign w:val="center"/>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CCTCGAGCTCGTGCAGAAGGCGGGCCC</w:t>
            </w:r>
          </w:p>
        </w:tc>
      </w:tr>
      <w:tr w:rsidR="00E97B77" w:rsidRPr="00E1588B" w:rsidTr="006A043D">
        <w:trPr>
          <w:trHeight w:val="300"/>
        </w:trPr>
        <w:tc>
          <w:tcPr>
            <w:tcW w:w="778"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i/>
                <w:iCs/>
                <w:color w:val="000000"/>
                <w:kern w:val="0"/>
                <w:sz w:val="24"/>
                <w:szCs w:val="24"/>
              </w:rPr>
            </w:pPr>
            <w:r w:rsidRPr="00FE5632">
              <w:rPr>
                <w:rFonts w:eastAsia="宋体" w:cs="Times New Roman"/>
                <w:i/>
                <w:iCs/>
                <w:color w:val="000000"/>
                <w:kern w:val="0"/>
                <w:sz w:val="24"/>
                <w:szCs w:val="24"/>
              </w:rPr>
              <w:t>pSmad3</w:t>
            </w:r>
          </w:p>
        </w:tc>
        <w:tc>
          <w:tcPr>
            <w:tcW w:w="2071" w:type="pct"/>
            <w:shd w:val="clear" w:color="auto" w:fill="auto"/>
            <w:noWrap/>
            <w:vAlign w:val="center"/>
            <w:hideMark/>
          </w:tcPr>
          <w:p w:rsidR="00E97B77" w:rsidRPr="00FE5632"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CGGGATCCATGTCGCCATCCTGCCCTT</w:t>
            </w:r>
          </w:p>
        </w:tc>
        <w:tc>
          <w:tcPr>
            <w:tcW w:w="2151" w:type="pct"/>
            <w:shd w:val="clear" w:color="auto" w:fill="auto"/>
            <w:noWrap/>
            <w:vAlign w:val="center"/>
            <w:hideMark/>
          </w:tcPr>
          <w:p w:rsidR="00E97B77" w:rsidRPr="00E1588B" w:rsidRDefault="00E97B77" w:rsidP="006A043D">
            <w:pPr>
              <w:widowControl/>
              <w:adjustRightInd w:val="0"/>
              <w:snapToGrid w:val="0"/>
              <w:spacing w:line="360" w:lineRule="auto"/>
              <w:rPr>
                <w:rFonts w:eastAsia="宋体" w:cs="Times New Roman"/>
                <w:color w:val="000000"/>
                <w:kern w:val="0"/>
                <w:sz w:val="24"/>
                <w:szCs w:val="24"/>
              </w:rPr>
            </w:pPr>
            <w:r w:rsidRPr="00FE5632">
              <w:rPr>
                <w:rFonts w:eastAsia="宋体" w:cs="Times New Roman"/>
                <w:color w:val="000000"/>
                <w:kern w:val="0"/>
                <w:sz w:val="24"/>
                <w:szCs w:val="24"/>
              </w:rPr>
              <w:t>CCGCTCGAGCTAAGACACTGGAACAGC</w:t>
            </w:r>
          </w:p>
        </w:tc>
      </w:tr>
    </w:tbl>
    <w:p w:rsidR="00BF5492" w:rsidRPr="00E1588B" w:rsidRDefault="00BF5492" w:rsidP="00E1588B">
      <w:pPr>
        <w:pStyle w:val="Default"/>
        <w:snapToGrid w:val="0"/>
        <w:spacing w:line="360" w:lineRule="auto"/>
        <w:jc w:val="both"/>
        <w:rPr>
          <w:rFonts w:ascii="Times New Roman" w:hAnsi="Times New Roman" w:cs="Times New Roman" w:hint="eastAsia"/>
          <w:b/>
          <w:bCs/>
        </w:rPr>
      </w:pPr>
      <w:bookmarkStart w:id="2" w:name="_GoBack"/>
      <w:bookmarkEnd w:id="2"/>
    </w:p>
    <w:sectPr w:rsidR="00BF5492" w:rsidRPr="00E1588B" w:rsidSect="00173BF3">
      <w:footerReference w:type="default" r:id="rId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57E" w:rsidRDefault="00E0357E" w:rsidP="009C3D6C">
      <w:pPr>
        <w:spacing w:line="240" w:lineRule="auto"/>
      </w:pPr>
      <w:r>
        <w:separator/>
      </w:r>
    </w:p>
  </w:endnote>
  <w:endnote w:type="continuationSeparator" w:id="0">
    <w:p w:rsidR="00E0357E" w:rsidRDefault="00E0357E" w:rsidP="009C3D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877" w:rsidRPr="00640877" w:rsidRDefault="006A5F6A" w:rsidP="00640877">
    <w:pPr>
      <w:pStyle w:val="a5"/>
      <w:jc w:val="center"/>
      <w:rPr>
        <w:rFonts w:ascii="Times New Roman" w:hAnsi="Times New Roman" w:cs="Times New Roman"/>
      </w:rPr>
    </w:pPr>
    <w:r w:rsidRPr="00640877">
      <w:rPr>
        <w:rFonts w:ascii="Times New Roman" w:hAnsi="Times New Roman" w:cs="Times New Roman"/>
      </w:rPr>
      <w:fldChar w:fldCharType="begin"/>
    </w:r>
    <w:r w:rsidR="00640877" w:rsidRPr="00640877">
      <w:rPr>
        <w:rFonts w:ascii="Times New Roman" w:hAnsi="Times New Roman" w:cs="Times New Roman"/>
      </w:rPr>
      <w:instrText>PAGE   \* MERGEFORMAT</w:instrText>
    </w:r>
    <w:r w:rsidRPr="00640877">
      <w:rPr>
        <w:rFonts w:ascii="Times New Roman" w:hAnsi="Times New Roman" w:cs="Times New Roman"/>
      </w:rPr>
      <w:fldChar w:fldCharType="separate"/>
    </w:r>
    <w:r w:rsidR="00DC65BE" w:rsidRPr="00DC65BE">
      <w:rPr>
        <w:rFonts w:ascii="Times New Roman" w:hAnsi="Times New Roman" w:cs="Times New Roman"/>
        <w:noProof/>
        <w:lang w:val="zh-CN"/>
      </w:rPr>
      <w:t>1</w:t>
    </w:r>
    <w:r w:rsidRPr="00640877">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57E" w:rsidRDefault="00E0357E" w:rsidP="009C3D6C">
      <w:pPr>
        <w:spacing w:line="240" w:lineRule="auto"/>
      </w:pPr>
      <w:r>
        <w:separator/>
      </w:r>
    </w:p>
  </w:footnote>
  <w:footnote w:type="continuationSeparator" w:id="0">
    <w:p w:rsidR="00E0357E" w:rsidRDefault="00E0357E" w:rsidP="009C3D6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4E0D"/>
    <w:rsid w:val="00057448"/>
    <w:rsid w:val="00184795"/>
    <w:rsid w:val="001A16C8"/>
    <w:rsid w:val="002C0143"/>
    <w:rsid w:val="002E28D7"/>
    <w:rsid w:val="003C0CF2"/>
    <w:rsid w:val="004439AF"/>
    <w:rsid w:val="0047247D"/>
    <w:rsid w:val="005C33F8"/>
    <w:rsid w:val="00640877"/>
    <w:rsid w:val="006912CA"/>
    <w:rsid w:val="006A5F6A"/>
    <w:rsid w:val="006B7AA7"/>
    <w:rsid w:val="006C678F"/>
    <w:rsid w:val="007133DB"/>
    <w:rsid w:val="007C58F9"/>
    <w:rsid w:val="00904E0D"/>
    <w:rsid w:val="009338F4"/>
    <w:rsid w:val="009C3D6C"/>
    <w:rsid w:val="009C67CD"/>
    <w:rsid w:val="00AE1A66"/>
    <w:rsid w:val="00B05443"/>
    <w:rsid w:val="00BE7131"/>
    <w:rsid w:val="00BF5492"/>
    <w:rsid w:val="00D26F61"/>
    <w:rsid w:val="00D437BA"/>
    <w:rsid w:val="00DC65BE"/>
    <w:rsid w:val="00E0357E"/>
    <w:rsid w:val="00E1588B"/>
    <w:rsid w:val="00E5749A"/>
    <w:rsid w:val="00E97B77"/>
    <w:rsid w:val="00EB2636"/>
    <w:rsid w:val="00EB6AE2"/>
    <w:rsid w:val="00ED2B3C"/>
    <w:rsid w:val="00FC6E9C"/>
    <w:rsid w:val="00FE5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C475"/>
  <w15:docId w15:val="{FD328AA4-4B54-463B-A4B6-30A7B79A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D6C"/>
    <w:pPr>
      <w:widowControl w:val="0"/>
      <w:spacing w:line="480" w:lineRule="auto"/>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3D6C"/>
    <w:pPr>
      <w:pBdr>
        <w:bottom w:val="single" w:sz="6" w:space="1" w:color="auto"/>
      </w:pBdr>
      <w:tabs>
        <w:tab w:val="center" w:pos="4153"/>
        <w:tab w:val="right" w:pos="8306"/>
      </w:tabs>
      <w:snapToGrid w:val="0"/>
      <w:spacing w:line="240" w:lineRule="auto"/>
      <w:jc w:val="center"/>
    </w:pPr>
    <w:rPr>
      <w:rFonts w:asciiTheme="minorHAnsi" w:hAnsiTheme="minorHAnsi"/>
      <w:sz w:val="18"/>
      <w:szCs w:val="18"/>
    </w:rPr>
  </w:style>
  <w:style w:type="character" w:customStyle="1" w:styleId="a4">
    <w:name w:val="页眉 字符"/>
    <w:basedOn w:val="a0"/>
    <w:link w:val="a3"/>
    <w:uiPriority w:val="99"/>
    <w:rsid w:val="009C3D6C"/>
    <w:rPr>
      <w:sz w:val="18"/>
      <w:szCs w:val="18"/>
    </w:rPr>
  </w:style>
  <w:style w:type="paragraph" w:styleId="a5">
    <w:name w:val="footer"/>
    <w:basedOn w:val="a"/>
    <w:link w:val="a6"/>
    <w:uiPriority w:val="99"/>
    <w:unhideWhenUsed/>
    <w:rsid w:val="009C3D6C"/>
    <w:pPr>
      <w:tabs>
        <w:tab w:val="center" w:pos="4153"/>
        <w:tab w:val="right" w:pos="8306"/>
      </w:tabs>
      <w:snapToGrid w:val="0"/>
      <w:spacing w:line="240" w:lineRule="auto"/>
      <w:jc w:val="left"/>
    </w:pPr>
    <w:rPr>
      <w:rFonts w:asciiTheme="minorHAnsi" w:hAnsiTheme="minorHAnsi"/>
      <w:sz w:val="18"/>
      <w:szCs w:val="18"/>
    </w:rPr>
  </w:style>
  <w:style w:type="character" w:customStyle="1" w:styleId="a6">
    <w:name w:val="页脚 字符"/>
    <w:basedOn w:val="a0"/>
    <w:link w:val="a5"/>
    <w:uiPriority w:val="99"/>
    <w:rsid w:val="009C3D6C"/>
    <w:rPr>
      <w:sz w:val="18"/>
      <w:szCs w:val="18"/>
    </w:rPr>
  </w:style>
  <w:style w:type="character" w:styleId="a7">
    <w:name w:val="Emphasis"/>
    <w:basedOn w:val="a0"/>
    <w:uiPriority w:val="20"/>
    <w:qFormat/>
    <w:rsid w:val="009C3D6C"/>
    <w:rPr>
      <w:i/>
      <w:iCs/>
    </w:rPr>
  </w:style>
  <w:style w:type="paragraph" w:customStyle="1" w:styleId="Default">
    <w:name w:val="Default"/>
    <w:rsid w:val="009C3D6C"/>
    <w:pPr>
      <w:widowControl w:val="0"/>
      <w:autoSpaceDE w:val="0"/>
      <w:autoSpaceDN w:val="0"/>
      <w:adjustRightInd w:val="0"/>
    </w:pPr>
    <w:rPr>
      <w:rFonts w:ascii="Calibri" w:hAnsi="Calibri" w:cs="Calibri"/>
      <w:color w:val="000000"/>
      <w:kern w:val="0"/>
      <w:sz w:val="24"/>
      <w:szCs w:val="24"/>
    </w:rPr>
  </w:style>
  <w:style w:type="character" w:styleId="a8">
    <w:name w:val="line number"/>
    <w:basedOn w:val="a0"/>
    <w:uiPriority w:val="99"/>
    <w:semiHidden/>
    <w:unhideWhenUsed/>
    <w:rsid w:val="009C3D6C"/>
  </w:style>
  <w:style w:type="paragraph" w:styleId="a9">
    <w:name w:val="Balloon Text"/>
    <w:basedOn w:val="a"/>
    <w:link w:val="aa"/>
    <w:uiPriority w:val="99"/>
    <w:semiHidden/>
    <w:unhideWhenUsed/>
    <w:rsid w:val="00E1588B"/>
    <w:pPr>
      <w:spacing w:line="240" w:lineRule="auto"/>
    </w:pPr>
    <w:rPr>
      <w:sz w:val="18"/>
      <w:szCs w:val="18"/>
    </w:rPr>
  </w:style>
  <w:style w:type="character" w:customStyle="1" w:styleId="aa">
    <w:name w:val="批注框文本 字符"/>
    <w:basedOn w:val="a0"/>
    <w:link w:val="a9"/>
    <w:uiPriority w:val="99"/>
    <w:semiHidden/>
    <w:rsid w:val="00E1588B"/>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809</Words>
  <Characters>4617</Characters>
  <Application>Microsoft Office Word</Application>
  <DocSecurity>0</DocSecurity>
  <Lines>38</Lines>
  <Paragraphs>10</Paragraphs>
  <ScaleCrop>false</ScaleCrop>
  <Company>Lenovo</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ynagjing</dc:creator>
  <cp:lastModifiedBy>li</cp:lastModifiedBy>
  <cp:revision>11</cp:revision>
  <dcterms:created xsi:type="dcterms:W3CDTF">2019-01-17T14:23:00Z</dcterms:created>
  <dcterms:modified xsi:type="dcterms:W3CDTF">2019-07-03T14:43:00Z</dcterms:modified>
</cp:coreProperties>
</file>