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f"/>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2D8D" w:rsidRPr="00E9053B" w:rsidRDefault="00FD7EF7" w:rsidP="004E59DF">
      <w:pPr>
        <w:rPr>
          <w:rFonts w:cs="Times New Roman"/>
          <w:b/>
          <w:bCs/>
          <w:color w:val="000000"/>
          <w:sz w:val="24"/>
          <w:szCs w:val="24"/>
        </w:rPr>
      </w:pPr>
      <w:r w:rsidRPr="00E9053B">
        <w:rPr>
          <w:rFonts w:cs="Times New Roman"/>
          <w:b/>
          <w:bCs/>
          <w:color w:val="000000"/>
          <w:sz w:val="24"/>
          <w:szCs w:val="24"/>
        </w:rPr>
        <w:t xml:space="preserve">Supplementary </w:t>
      </w:r>
      <w:r w:rsidR="004E59DF" w:rsidRPr="00E9053B">
        <w:rPr>
          <w:rFonts w:cs="Times New Roman"/>
          <w:b/>
          <w:bCs/>
          <w:color w:val="000000"/>
          <w:sz w:val="24"/>
          <w:szCs w:val="24"/>
        </w:rPr>
        <w:t>Materials and Methods</w:t>
      </w:r>
    </w:p>
    <w:p w:rsidR="00DA310D" w:rsidRPr="00E9053B" w:rsidRDefault="00DA310D" w:rsidP="00DA310D">
      <w:pPr>
        <w:rPr>
          <w:b/>
          <w:sz w:val="24"/>
          <w:szCs w:val="24"/>
        </w:rPr>
      </w:pPr>
      <w:r w:rsidRPr="00E9053B">
        <w:rPr>
          <w:b/>
          <w:sz w:val="24"/>
          <w:szCs w:val="24"/>
        </w:rPr>
        <w:t>Studies by using human samples</w:t>
      </w:r>
    </w:p>
    <w:p w:rsidR="00DA310D" w:rsidRPr="00E9053B" w:rsidRDefault="00DA310D" w:rsidP="00CC3D39">
      <w:pPr>
        <w:ind w:firstLineChars="100" w:firstLine="240"/>
        <w:rPr>
          <w:sz w:val="24"/>
          <w:szCs w:val="24"/>
        </w:rPr>
      </w:pPr>
      <w:r w:rsidRPr="00E9053B">
        <w:rPr>
          <w:sz w:val="24"/>
          <w:szCs w:val="24"/>
        </w:rPr>
        <w:t>The primary colorectal cancer tissues and their matching, adjacent normal colon tissues were collected from 17 colorectal cancer patients undergoing surgery at the First Affiliated Hospital of Nanjing Medical University, Nanjing, China. Informed consent was given in all patients examined. All samples were confirmed by pathological examination. Histological grade was defined according to the World Health Organization classification. The First Affiliated Hospital with Nanjing Medical University Ethics Committee approved all described studies.</w:t>
      </w:r>
    </w:p>
    <w:p w:rsidR="00DA310D" w:rsidRPr="00E9053B" w:rsidRDefault="00DA310D" w:rsidP="00DA310D">
      <w:pPr>
        <w:rPr>
          <w:b/>
          <w:sz w:val="24"/>
          <w:szCs w:val="24"/>
        </w:rPr>
      </w:pPr>
      <w:r w:rsidRPr="00E9053B">
        <w:rPr>
          <w:b/>
          <w:sz w:val="24"/>
          <w:szCs w:val="24"/>
        </w:rPr>
        <w:t>Immunofluorescence (IF) staining</w:t>
      </w:r>
    </w:p>
    <w:p w:rsidR="00DA310D" w:rsidRPr="00E9053B" w:rsidRDefault="00DA310D" w:rsidP="00CC3D39">
      <w:pPr>
        <w:ind w:firstLineChars="100" w:firstLine="240"/>
        <w:rPr>
          <w:sz w:val="24"/>
          <w:szCs w:val="24"/>
        </w:rPr>
      </w:pPr>
      <w:r w:rsidRPr="00E9053B">
        <w:rPr>
          <w:sz w:val="24"/>
          <w:szCs w:val="24"/>
        </w:rPr>
        <w:t>The samples were permeabilized in 0.1%Triton X-100 and incubated with 1% BSA/PBS to block nonspecific binding. Subsequently, the cells were immunostained by incubating with HIBCH antibody (Abcam, ab153826; diluted 1:100), COX4 antibody (Santa Cruz Biotechnology, sc-376731; diluted 1:100) and p62 (diluted 1:100) overnight at 4°C. After being washed with PBS, cells were incubated with goat anti-rabbit AF594 (Thermo Fisher Scientific</w:t>
      </w:r>
      <w:r w:rsidRPr="00E9053B">
        <w:rPr>
          <w:rFonts w:ascii="宋体" w:eastAsia="宋体" w:hAnsi="宋体" w:cs="宋体" w:hint="eastAsia"/>
          <w:sz w:val="24"/>
          <w:szCs w:val="24"/>
        </w:rPr>
        <w:t>,</w:t>
      </w:r>
      <w:r w:rsidRPr="00E9053B">
        <w:rPr>
          <w:rFonts w:ascii="宋体" w:eastAsia="宋体" w:hAnsi="宋体" w:cs="宋体"/>
          <w:sz w:val="24"/>
          <w:szCs w:val="24"/>
        </w:rPr>
        <w:t xml:space="preserve"> </w:t>
      </w:r>
      <w:r w:rsidRPr="00E9053B">
        <w:rPr>
          <w:sz w:val="24"/>
          <w:szCs w:val="24"/>
        </w:rPr>
        <w:t>Waltham</w:t>
      </w:r>
      <w:r w:rsidRPr="00E9053B">
        <w:rPr>
          <w:rFonts w:ascii="宋体" w:eastAsia="宋体" w:hAnsi="宋体" w:cs="宋体" w:hint="eastAsia"/>
          <w:sz w:val="24"/>
          <w:szCs w:val="24"/>
        </w:rPr>
        <w:t>,</w:t>
      </w:r>
      <w:r w:rsidRPr="00E9053B">
        <w:rPr>
          <w:rFonts w:ascii="宋体" w:eastAsia="宋体" w:hAnsi="宋体" w:cs="宋体"/>
          <w:sz w:val="24"/>
          <w:szCs w:val="24"/>
        </w:rPr>
        <w:t xml:space="preserve"> </w:t>
      </w:r>
      <w:r w:rsidRPr="00E9053B">
        <w:rPr>
          <w:sz w:val="24"/>
          <w:szCs w:val="24"/>
        </w:rPr>
        <w:t>Massachusetts, A-11037; diluted 1:500); donkey anti-mouse AF488 (Thermo Fisher Scientific, R37114; diluted 1:500). And nuclei were counterstained with DAPI (Beyotime, Shanghai</w:t>
      </w:r>
      <w:r w:rsidRPr="00E9053B">
        <w:rPr>
          <w:rFonts w:ascii="宋体" w:eastAsia="宋体" w:hAnsi="宋体" w:cs="宋体"/>
          <w:sz w:val="24"/>
          <w:szCs w:val="24"/>
        </w:rPr>
        <w:t xml:space="preserve">, </w:t>
      </w:r>
      <w:r w:rsidRPr="00E9053B">
        <w:rPr>
          <w:sz w:val="24"/>
          <w:szCs w:val="24"/>
        </w:rPr>
        <w:t>China; C1006). Fluorescent images were taken and analyzed using the ZEN pro 2012 imaging software on a Zeiss invert microscope under 100- 630 fold magnification.</w:t>
      </w:r>
    </w:p>
    <w:p w:rsidR="00DA310D" w:rsidRPr="00E9053B" w:rsidRDefault="00DA310D" w:rsidP="00DA310D">
      <w:pPr>
        <w:rPr>
          <w:b/>
          <w:sz w:val="24"/>
          <w:szCs w:val="24"/>
        </w:rPr>
      </w:pPr>
      <w:r w:rsidRPr="00E9053B">
        <w:rPr>
          <w:b/>
          <w:sz w:val="24"/>
          <w:szCs w:val="24"/>
        </w:rPr>
        <w:t>TUNEL Assays</w:t>
      </w:r>
    </w:p>
    <w:p w:rsidR="00DA310D" w:rsidRPr="00E9053B" w:rsidRDefault="00DA310D" w:rsidP="00CC3D39">
      <w:pPr>
        <w:ind w:firstLineChars="100" w:firstLine="240"/>
        <w:rPr>
          <w:sz w:val="24"/>
          <w:szCs w:val="24"/>
        </w:rPr>
      </w:pPr>
      <w:r w:rsidRPr="00E9053B">
        <w:rPr>
          <w:sz w:val="24"/>
          <w:szCs w:val="24"/>
        </w:rPr>
        <w:t xml:space="preserve">TUNEL assays were performed according to the manufacturer’s instructions </w:t>
      </w:r>
      <w:r w:rsidRPr="00E9053B">
        <w:rPr>
          <w:sz w:val="24"/>
          <w:szCs w:val="24"/>
        </w:rPr>
        <w:lastRenderedPageBreak/>
        <w:t>(Vazyme, A112, Jiangsu, China). In brief, tissue sections were prepared by fixing the tissue in 4% paraformaldehyde for 30 min at room temperature. A positive control sample was prepared by treatment with DNase I for 10 min at room temperature. The sections were pretreated with proteinase K for 10 min at room temperature and were washed with PBS. The slices were treated with Equilibration Buffer for 30 min at room temperature and were subjected to reaction with terminal deoxynucleotidyl transferase (TdT) enzyme and Alexa Fluor 488-conjugated dUTP at 37°C for 1 h. Nuclei were stained with DAPI for 10 min. Fluorescent images were taken and analyzed using the ZEN pro 2012 imaging software on a Zeiss invert microscope. The results were analyzed with ImageJ software.</w:t>
      </w:r>
    </w:p>
    <w:p w:rsidR="000F2D16" w:rsidRPr="00E9053B" w:rsidRDefault="000F2D16" w:rsidP="000F2D16">
      <w:pPr>
        <w:rPr>
          <w:b/>
          <w:sz w:val="24"/>
          <w:szCs w:val="24"/>
        </w:rPr>
      </w:pPr>
      <w:r w:rsidRPr="00E9053B">
        <w:rPr>
          <w:b/>
          <w:sz w:val="24"/>
          <w:szCs w:val="24"/>
        </w:rPr>
        <w:t>Apoptosis assay</w:t>
      </w:r>
    </w:p>
    <w:p w:rsidR="000F2D16" w:rsidRPr="00E9053B" w:rsidRDefault="000F2D16" w:rsidP="00CC3D39">
      <w:pPr>
        <w:ind w:firstLineChars="100" w:firstLine="240"/>
        <w:rPr>
          <w:sz w:val="24"/>
          <w:szCs w:val="24"/>
        </w:rPr>
      </w:pPr>
      <w:r w:rsidRPr="00E9053B">
        <w:rPr>
          <w:sz w:val="24"/>
          <w:szCs w:val="24"/>
        </w:rPr>
        <w:t>Cells were seeded into 6-well plates and exposed to DMSO or 1000 nM SBF-1 for indicated time. Apoptosis detected by Annexin V, FITC Apoptosis Detection Kit (DOJINDO, AD10, Kumamoto, Japan) according to the manufacturer’s instructions and analysis on an FACScalibur flow cytometer. For each cell line, single-stained and unstained controls were included.</w:t>
      </w:r>
    </w:p>
    <w:p w:rsidR="000F2D16" w:rsidRPr="00E9053B" w:rsidRDefault="000F2D16" w:rsidP="000F2D16">
      <w:pPr>
        <w:rPr>
          <w:b/>
          <w:sz w:val="24"/>
          <w:szCs w:val="24"/>
        </w:rPr>
      </w:pPr>
      <w:r w:rsidRPr="00E9053B">
        <w:rPr>
          <w:b/>
          <w:sz w:val="24"/>
          <w:szCs w:val="24"/>
        </w:rPr>
        <w:t>Western blot analysis</w:t>
      </w:r>
    </w:p>
    <w:p w:rsidR="000F2D16" w:rsidRPr="00E9053B" w:rsidRDefault="000F2D16" w:rsidP="00CC3D39">
      <w:pPr>
        <w:ind w:firstLineChars="100" w:firstLine="240"/>
        <w:rPr>
          <w:sz w:val="24"/>
          <w:szCs w:val="24"/>
        </w:rPr>
      </w:pPr>
      <w:r w:rsidRPr="00E9053B">
        <w:rPr>
          <w:sz w:val="24"/>
          <w:szCs w:val="24"/>
        </w:rPr>
        <w:t xml:space="preserve">Whole-cell lysates was prepared with Cell lysis buffer (Beyotime, P0013, Shanghai, China) containing protease and phosphatase inhibitors. Mitochondria isolation extracts steps were in accordance to the protocols provided by the manufacturer of Mitochondria Isolation Kit for Cultured Cells (Thermo Fisher, 89874, Massachusetts, USA). Equal amounts of cell lysates (25 μg) were loaded on SDS-PAGE and transferred onto PVDF </w:t>
      </w:r>
      <w:r w:rsidRPr="00E9053B">
        <w:rPr>
          <w:sz w:val="24"/>
          <w:szCs w:val="24"/>
        </w:rPr>
        <w:lastRenderedPageBreak/>
        <w:t>membranes. After membranes were blocked, they were incubated with antibody against HIBCH(Abcam, ab153826; diluted 1:1000), LC3B (Cell Signaling Technology, 3868, Massachusetts, USA; diluted 1:1000), p-mTOR (Cell Signaling Technology, 2974; diluted 1:1000), COX-4 (Santa Cruz, sc-376731; diluted 1:1000), p-ULK1 (Ser757, Cell Signaling Technology, 14202; diluted 1:1000), p-ULK1 (Ser555, Cell Signaling Technology, 5869; diluted 1:1000), p-AMPK (Cell Signaling Technology, 2535; diluted; 1:1000), Tubulin (Proteintech, 10094-1-AP, Hubei, China; diluted 1:2000), p62 (Abcam, ab109012; diluted 1:1000) and Actin (Santa Cruz, sc-47778; diluted 1:4000), followed by incubation with goat anti-mouse IgG, goat anti-rabbit IgG HRP- conjugated antibodies were purchased from Santa Cruz Biotechnology. After extensive washing, the blots were developed with a chemiluminescence assay system (Cell Signaling Technology, 7003) and exposed to films (Kodak, NY, USA) for appropriate time periods.</w:t>
      </w:r>
    </w:p>
    <w:p w:rsidR="000F2D16" w:rsidRPr="00E9053B" w:rsidRDefault="000F2D16" w:rsidP="000F2D16">
      <w:pPr>
        <w:rPr>
          <w:b/>
          <w:sz w:val="24"/>
          <w:szCs w:val="24"/>
        </w:rPr>
      </w:pPr>
      <w:r w:rsidRPr="00E9053B">
        <w:rPr>
          <w:b/>
          <w:sz w:val="24"/>
          <w:szCs w:val="24"/>
        </w:rPr>
        <w:t>RNA isolation and quantitative real-time PCR</w:t>
      </w:r>
    </w:p>
    <w:p w:rsidR="000F2D16" w:rsidRPr="00E9053B" w:rsidRDefault="000F2D16" w:rsidP="00CC3D39">
      <w:pPr>
        <w:ind w:firstLineChars="100" w:firstLine="240"/>
        <w:rPr>
          <w:sz w:val="24"/>
          <w:szCs w:val="24"/>
        </w:rPr>
      </w:pPr>
      <w:r w:rsidRPr="00E9053B">
        <w:rPr>
          <w:sz w:val="24"/>
          <w:szCs w:val="24"/>
        </w:rPr>
        <w:t>Total RNA was extracted from the skin and cells using the TRIzol reagent (Invitrogen). First-strand cDNA was synthesized with 500 ng total RNA using a Hiscript® II QRTSuperMix (Vazyme, R122-01). Q-PCR was performed using iQ™ RT SYBR® Green supermix and the iQ5 real-time detection system (Bio-Rad Laboratories, 1708880, California, USA). The comparative cycle threshold (Ct) method was applied to quantify the expression levels through calculating the 2</w:t>
      </w:r>
      <w:r w:rsidRPr="00E9053B">
        <w:rPr>
          <w:sz w:val="24"/>
          <w:szCs w:val="24"/>
          <w:vertAlign w:val="superscript"/>
        </w:rPr>
        <w:t>(−ΔΔCt)</w:t>
      </w:r>
      <w:r w:rsidRPr="00E9053B">
        <w:rPr>
          <w:sz w:val="24"/>
          <w:szCs w:val="24"/>
        </w:rPr>
        <w:t xml:space="preserve"> method. The primers used for PCR were as follows: A</w:t>
      </w:r>
      <w:r w:rsidRPr="00E9053B">
        <w:rPr>
          <w:rFonts w:hint="eastAsia"/>
          <w:sz w:val="24"/>
          <w:szCs w:val="24"/>
        </w:rPr>
        <w:t>CTB: 5</w:t>
      </w:r>
      <w:r w:rsidRPr="00E9053B">
        <w:rPr>
          <w:rFonts w:hint="eastAsia"/>
          <w:sz w:val="24"/>
          <w:szCs w:val="24"/>
        </w:rPr>
        <w:t>′</w:t>
      </w:r>
      <w:r w:rsidRPr="00E9053B">
        <w:rPr>
          <w:rFonts w:hint="eastAsia"/>
          <w:sz w:val="24"/>
          <w:szCs w:val="24"/>
        </w:rPr>
        <w:t>-ATTGGCAATGAGCGGTTC-3</w:t>
      </w:r>
      <w:r w:rsidRPr="00E9053B">
        <w:rPr>
          <w:rFonts w:hint="eastAsia"/>
          <w:sz w:val="24"/>
          <w:szCs w:val="24"/>
        </w:rPr>
        <w:t>′</w:t>
      </w:r>
      <w:r w:rsidRPr="00E9053B">
        <w:rPr>
          <w:rFonts w:hint="eastAsia"/>
          <w:sz w:val="24"/>
          <w:szCs w:val="24"/>
        </w:rPr>
        <w:t xml:space="preserve"> (forward) and 5</w:t>
      </w:r>
      <w:r w:rsidRPr="00E9053B">
        <w:rPr>
          <w:rFonts w:hint="eastAsia"/>
          <w:sz w:val="24"/>
          <w:szCs w:val="24"/>
        </w:rPr>
        <w:t>′</w:t>
      </w:r>
      <w:r w:rsidRPr="00E9053B">
        <w:rPr>
          <w:rFonts w:hint="eastAsia"/>
          <w:sz w:val="24"/>
          <w:szCs w:val="24"/>
        </w:rPr>
        <w:t>-GGATGCCACAGGACTCCAT-3</w:t>
      </w:r>
      <w:r w:rsidRPr="00E9053B">
        <w:rPr>
          <w:rFonts w:hint="eastAsia"/>
          <w:sz w:val="24"/>
          <w:szCs w:val="24"/>
        </w:rPr>
        <w:t>′</w:t>
      </w:r>
      <w:r w:rsidRPr="00E9053B">
        <w:rPr>
          <w:rFonts w:hint="eastAsia"/>
          <w:sz w:val="24"/>
          <w:szCs w:val="24"/>
        </w:rPr>
        <w:t xml:space="preserve"> (reverse); HIBCH: 5</w:t>
      </w:r>
      <w:r w:rsidRPr="00E9053B">
        <w:rPr>
          <w:rFonts w:hint="eastAsia"/>
          <w:sz w:val="24"/>
          <w:szCs w:val="24"/>
        </w:rPr>
        <w:t>′</w:t>
      </w:r>
      <w:r w:rsidRPr="00E9053B">
        <w:rPr>
          <w:rFonts w:hint="eastAsia"/>
          <w:sz w:val="24"/>
          <w:szCs w:val="24"/>
        </w:rPr>
        <w:t>-</w:t>
      </w:r>
      <w:r w:rsidRPr="00E9053B">
        <w:rPr>
          <w:rFonts w:hint="eastAsia"/>
          <w:sz w:val="24"/>
          <w:szCs w:val="24"/>
        </w:rPr>
        <w:lastRenderedPageBreak/>
        <w:t>GCAATTTCGAGTGGCTACAGA-3</w:t>
      </w:r>
      <w:r w:rsidRPr="00E9053B">
        <w:rPr>
          <w:rFonts w:hint="eastAsia"/>
          <w:sz w:val="24"/>
          <w:szCs w:val="24"/>
        </w:rPr>
        <w:t>′</w:t>
      </w:r>
      <w:r w:rsidRPr="00E9053B">
        <w:rPr>
          <w:rFonts w:hint="eastAsia"/>
          <w:sz w:val="24"/>
          <w:szCs w:val="24"/>
        </w:rPr>
        <w:t xml:space="preserve"> (forward) and 5</w:t>
      </w:r>
      <w:r w:rsidRPr="00E9053B">
        <w:rPr>
          <w:rFonts w:hint="eastAsia"/>
          <w:sz w:val="24"/>
          <w:szCs w:val="24"/>
        </w:rPr>
        <w:t>′</w:t>
      </w:r>
      <w:r w:rsidRPr="00E9053B">
        <w:rPr>
          <w:rFonts w:hint="eastAsia"/>
          <w:sz w:val="24"/>
          <w:szCs w:val="24"/>
        </w:rPr>
        <w:t>- CCTTGGAGTCGTGGCAAGAA-3</w:t>
      </w:r>
      <w:r w:rsidRPr="00E9053B">
        <w:rPr>
          <w:rFonts w:hint="eastAsia"/>
          <w:sz w:val="24"/>
          <w:szCs w:val="24"/>
        </w:rPr>
        <w:t>′</w:t>
      </w:r>
      <w:r w:rsidRPr="00E9053B">
        <w:rPr>
          <w:rFonts w:hint="eastAsia"/>
          <w:sz w:val="24"/>
          <w:szCs w:val="24"/>
        </w:rPr>
        <w:t xml:space="preserve"> (reverse).</w:t>
      </w:r>
    </w:p>
    <w:p w:rsidR="000F2D16" w:rsidRPr="00E9053B" w:rsidRDefault="000F2D16" w:rsidP="000F2D16">
      <w:pPr>
        <w:rPr>
          <w:b/>
          <w:sz w:val="24"/>
          <w:szCs w:val="24"/>
        </w:rPr>
      </w:pPr>
      <w:r w:rsidRPr="00E9053B">
        <w:rPr>
          <w:b/>
          <w:sz w:val="24"/>
          <w:szCs w:val="24"/>
        </w:rPr>
        <w:t>Measurement of NAD</w:t>
      </w:r>
      <w:r w:rsidRPr="00E9053B">
        <w:rPr>
          <w:b/>
          <w:sz w:val="24"/>
          <w:szCs w:val="24"/>
          <w:vertAlign w:val="superscript"/>
        </w:rPr>
        <w:t>+</w:t>
      </w:r>
      <w:r w:rsidRPr="00E9053B">
        <w:rPr>
          <w:b/>
          <w:sz w:val="24"/>
          <w:szCs w:val="24"/>
        </w:rPr>
        <w:t>/NADH</w:t>
      </w:r>
    </w:p>
    <w:p w:rsidR="000F2D16" w:rsidRDefault="000F2D16" w:rsidP="00CC3D39">
      <w:pPr>
        <w:ind w:firstLineChars="100" w:firstLine="240"/>
        <w:rPr>
          <w:sz w:val="24"/>
          <w:szCs w:val="24"/>
        </w:rPr>
      </w:pPr>
      <w:r w:rsidRPr="00E9053B">
        <w:rPr>
          <w:sz w:val="24"/>
          <w:szCs w:val="24"/>
        </w:rPr>
        <w:t>Cells were seeded into 6-well plates and exposed to DMSO or 1000 nM SBF-1 as well as transfected with scramble or shHIBCH for indicated time. The following steps according to the manufacturer’s instructions (Beyotime, S0175).</w:t>
      </w:r>
    </w:p>
    <w:p w:rsidR="00A061DB" w:rsidRPr="00A061DB" w:rsidRDefault="00A061DB" w:rsidP="00A061DB">
      <w:pPr>
        <w:rPr>
          <w:b/>
          <w:sz w:val="24"/>
          <w:szCs w:val="24"/>
        </w:rPr>
      </w:pPr>
      <w:r w:rsidRPr="00A061DB">
        <w:rPr>
          <w:b/>
          <w:sz w:val="24"/>
          <w:szCs w:val="24"/>
        </w:rPr>
        <w:t>Microscale Thermophoresis</w:t>
      </w:r>
    </w:p>
    <w:p w:rsidR="00A061DB" w:rsidRPr="00A061DB" w:rsidRDefault="00A061DB" w:rsidP="00A061DB">
      <w:pPr>
        <w:ind w:firstLineChars="100" w:firstLine="240"/>
        <w:rPr>
          <w:sz w:val="24"/>
          <w:szCs w:val="24"/>
        </w:rPr>
      </w:pPr>
      <w:r w:rsidRPr="00A061DB">
        <w:rPr>
          <w:sz w:val="24"/>
          <w:szCs w:val="24"/>
        </w:rPr>
        <w:t>The interaction between SBF-1 and GFP-HIBCH (human HIBCH with an C-terminal GFP) was investigated by MST using a NanoTemper Monolith NT.115 instrument and the MO.AffinityAnalysis software (NanoTemper Technologies, Munich, Germany).</w:t>
      </w:r>
    </w:p>
    <w:p w:rsidR="00C14ADB" w:rsidRPr="00E9053B" w:rsidRDefault="00C14ADB" w:rsidP="00874908">
      <w:pPr>
        <w:spacing w:line="360" w:lineRule="auto"/>
        <w:rPr>
          <w:rFonts w:cs="Times New Roman"/>
          <w:sz w:val="24"/>
          <w:szCs w:val="24"/>
        </w:rPr>
      </w:pPr>
      <w:r w:rsidRPr="00E9053B">
        <w:rPr>
          <w:rFonts w:cs="Times New Roman"/>
          <w:sz w:val="24"/>
          <w:szCs w:val="24"/>
        </w:rPr>
        <w:br w:type="page"/>
      </w:r>
    </w:p>
    <w:p w:rsidR="00060186" w:rsidRPr="00E9053B" w:rsidRDefault="00060186" w:rsidP="00CC3D39">
      <w:pPr>
        <w:rPr>
          <w:b/>
          <w:sz w:val="24"/>
          <w:szCs w:val="24"/>
        </w:rPr>
      </w:pPr>
      <w:r w:rsidRPr="00E9053B">
        <w:rPr>
          <w:b/>
          <w:sz w:val="24"/>
          <w:szCs w:val="24"/>
        </w:rPr>
        <w:lastRenderedPageBreak/>
        <w:t xml:space="preserve">Supplemental </w:t>
      </w:r>
      <w:r w:rsidR="009B7733">
        <w:rPr>
          <w:b/>
          <w:sz w:val="24"/>
          <w:szCs w:val="24"/>
        </w:rPr>
        <w:t>Figures</w:t>
      </w:r>
    </w:p>
    <w:p w:rsidR="00060186" w:rsidRPr="00E9053B" w:rsidRDefault="00867943" w:rsidP="00CC3D39">
      <w:pPr>
        <w:rPr>
          <w:b/>
          <w:sz w:val="24"/>
          <w:szCs w:val="24"/>
        </w:rPr>
      </w:pPr>
      <w:r>
        <w:rPr>
          <w:b/>
          <w:noProof/>
          <w:sz w:val="24"/>
          <w:szCs w:val="24"/>
        </w:rPr>
        <w:drawing>
          <wp:inline distT="0" distB="0" distL="0" distR="0">
            <wp:extent cx="3044952" cy="2505456"/>
            <wp:effectExtent l="0" t="0" r="3175"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pplementary Figure 1.tif"/>
                    <pic:cNvPicPr/>
                  </pic:nvPicPr>
                  <pic:blipFill>
                    <a:blip r:embed="rId6" cstate="print">
                      <a:extLst>
                        <a:ext uri="{28A0092B-C50C-407E-A947-70E740481C1C}">
                          <a14:useLocalDpi xmlns:a14="http://schemas.microsoft.com/office/drawing/2010/main" val="0"/>
                        </a:ext>
                      </a:extLst>
                    </a:blip>
                    <a:stretch>
                      <a:fillRect/>
                    </a:stretch>
                  </pic:blipFill>
                  <pic:spPr>
                    <a:xfrm>
                      <a:off x="0" y="0"/>
                      <a:ext cx="3044952" cy="2505456"/>
                    </a:xfrm>
                    <a:prstGeom prst="rect">
                      <a:avLst/>
                    </a:prstGeom>
                  </pic:spPr>
                </pic:pic>
              </a:graphicData>
            </a:graphic>
          </wp:inline>
        </w:drawing>
      </w:r>
    </w:p>
    <w:p w:rsidR="00867943" w:rsidRDefault="00076E5B" w:rsidP="0037774C">
      <w:pPr>
        <w:rPr>
          <w:sz w:val="24"/>
          <w:szCs w:val="24"/>
        </w:rPr>
      </w:pPr>
      <w:r w:rsidRPr="00E9053B">
        <w:rPr>
          <w:b/>
          <w:sz w:val="24"/>
          <w:szCs w:val="24"/>
        </w:rPr>
        <w:t>Fig</w:t>
      </w:r>
      <w:r w:rsidR="005D6C87" w:rsidRPr="00E9053B">
        <w:rPr>
          <w:b/>
          <w:sz w:val="24"/>
          <w:szCs w:val="24"/>
        </w:rPr>
        <w:t>.</w:t>
      </w:r>
      <w:r w:rsidR="00A16505" w:rsidRPr="00E9053B">
        <w:rPr>
          <w:b/>
          <w:sz w:val="24"/>
          <w:szCs w:val="24"/>
        </w:rPr>
        <w:t xml:space="preserve"> </w:t>
      </w:r>
      <w:r w:rsidR="007F2F90" w:rsidRPr="00E9053B">
        <w:rPr>
          <w:rFonts w:hint="eastAsia"/>
          <w:b/>
          <w:sz w:val="24"/>
          <w:szCs w:val="24"/>
        </w:rPr>
        <w:t>S</w:t>
      </w:r>
      <w:r w:rsidRPr="00E9053B">
        <w:rPr>
          <w:b/>
          <w:sz w:val="24"/>
          <w:szCs w:val="24"/>
        </w:rPr>
        <w:t>1</w:t>
      </w:r>
      <w:r w:rsidR="007278D0" w:rsidRPr="00E9053B">
        <w:rPr>
          <w:sz w:val="24"/>
          <w:szCs w:val="24"/>
        </w:rPr>
        <w:t xml:space="preserve"> </w:t>
      </w:r>
      <w:r w:rsidR="0075683C">
        <w:rPr>
          <w:sz w:val="24"/>
          <w:szCs w:val="24"/>
        </w:rPr>
        <w:t>T</w:t>
      </w:r>
      <w:r w:rsidR="0075683C" w:rsidRPr="0075683C">
        <w:rPr>
          <w:sz w:val="24"/>
          <w:szCs w:val="24"/>
        </w:rPr>
        <w:t>he schematic of valine catabolism pathway</w:t>
      </w:r>
      <w:r w:rsidR="0075683C">
        <w:rPr>
          <w:sz w:val="24"/>
          <w:szCs w:val="24"/>
        </w:rPr>
        <w:t xml:space="preserve">. </w:t>
      </w:r>
    </w:p>
    <w:p w:rsidR="00867943" w:rsidRDefault="00867943" w:rsidP="0037774C">
      <w:pPr>
        <w:rPr>
          <w:sz w:val="24"/>
          <w:szCs w:val="24"/>
        </w:rPr>
      </w:pPr>
      <w:r>
        <w:rPr>
          <w:sz w:val="24"/>
          <w:szCs w:val="24"/>
        </w:rPr>
        <w:br w:type="page"/>
      </w:r>
    </w:p>
    <w:p w:rsidR="00867943" w:rsidRDefault="001A3874" w:rsidP="0037774C">
      <w:pPr>
        <w:rPr>
          <w:sz w:val="24"/>
          <w:szCs w:val="24"/>
        </w:rPr>
      </w:pPr>
      <w:r>
        <w:rPr>
          <w:noProof/>
          <w:sz w:val="24"/>
          <w:szCs w:val="24"/>
        </w:rPr>
        <w:lastRenderedPageBreak/>
        <w:drawing>
          <wp:inline distT="0" distB="0" distL="0" distR="0">
            <wp:extent cx="5274310" cy="4034790"/>
            <wp:effectExtent l="0" t="0" r="2540" b="381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upplementary Figure 2.t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4034790"/>
                    </a:xfrm>
                    <a:prstGeom prst="rect">
                      <a:avLst/>
                    </a:prstGeom>
                  </pic:spPr>
                </pic:pic>
              </a:graphicData>
            </a:graphic>
          </wp:inline>
        </w:drawing>
      </w:r>
    </w:p>
    <w:p w:rsidR="00774C3C" w:rsidRDefault="00867943" w:rsidP="00994220">
      <w:pPr>
        <w:rPr>
          <w:rFonts w:eastAsia="等线"/>
          <w:sz w:val="24"/>
          <w:szCs w:val="24"/>
        </w:rPr>
      </w:pPr>
      <w:r w:rsidRPr="00E9053B">
        <w:rPr>
          <w:b/>
          <w:sz w:val="24"/>
          <w:szCs w:val="24"/>
        </w:rPr>
        <w:t xml:space="preserve">Fig. </w:t>
      </w:r>
      <w:r w:rsidRPr="00E9053B">
        <w:rPr>
          <w:rFonts w:hint="eastAsia"/>
          <w:b/>
          <w:sz w:val="24"/>
          <w:szCs w:val="24"/>
        </w:rPr>
        <w:t>S</w:t>
      </w:r>
      <w:r>
        <w:rPr>
          <w:b/>
          <w:sz w:val="24"/>
          <w:szCs w:val="24"/>
        </w:rPr>
        <w:t>2</w:t>
      </w:r>
      <w:r w:rsidRPr="00867943">
        <w:rPr>
          <w:bCs/>
          <w:sz w:val="24"/>
          <w:szCs w:val="24"/>
        </w:rPr>
        <w:t xml:space="preserve"> </w:t>
      </w:r>
      <w:r w:rsidR="00994220" w:rsidRPr="00994220">
        <w:rPr>
          <w:rFonts w:eastAsia="等线"/>
          <w:sz w:val="24"/>
          <w:szCs w:val="24"/>
        </w:rPr>
        <w:t>Immunohistochemical</w:t>
      </w:r>
      <w:r w:rsidR="00994220">
        <w:rPr>
          <w:rFonts w:eastAsia="等线"/>
          <w:sz w:val="24"/>
          <w:szCs w:val="24"/>
        </w:rPr>
        <w:t xml:space="preserve"> </w:t>
      </w:r>
      <w:r w:rsidR="00994220" w:rsidRPr="00994220">
        <w:rPr>
          <w:rFonts w:eastAsia="等线"/>
          <w:sz w:val="24"/>
          <w:szCs w:val="24"/>
        </w:rPr>
        <w:t>staining of</w:t>
      </w:r>
      <w:r w:rsidR="00994220">
        <w:rPr>
          <w:rFonts w:eastAsia="等线"/>
          <w:sz w:val="24"/>
          <w:szCs w:val="24"/>
        </w:rPr>
        <w:t xml:space="preserve"> para-carcinoma tissues and tumors from patients.</w:t>
      </w:r>
    </w:p>
    <w:p w:rsidR="00867943" w:rsidRDefault="00867943" w:rsidP="0037774C">
      <w:pPr>
        <w:rPr>
          <w:sz w:val="24"/>
          <w:szCs w:val="24"/>
        </w:rPr>
      </w:pPr>
      <w:r>
        <w:rPr>
          <w:sz w:val="24"/>
          <w:szCs w:val="24"/>
        </w:rPr>
        <w:br w:type="page"/>
      </w:r>
    </w:p>
    <w:p w:rsidR="00867943" w:rsidRDefault="001A3874" w:rsidP="0037774C">
      <w:pPr>
        <w:rPr>
          <w:sz w:val="24"/>
          <w:szCs w:val="24"/>
        </w:rPr>
      </w:pPr>
      <w:r>
        <w:rPr>
          <w:noProof/>
          <w:sz w:val="24"/>
          <w:szCs w:val="24"/>
        </w:rPr>
        <w:lastRenderedPageBreak/>
        <w:drawing>
          <wp:inline distT="0" distB="0" distL="0" distR="0">
            <wp:extent cx="5274310" cy="1546225"/>
            <wp:effectExtent l="0" t="0" r="254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upplementary Figure 3.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1546225"/>
                    </a:xfrm>
                    <a:prstGeom prst="rect">
                      <a:avLst/>
                    </a:prstGeom>
                  </pic:spPr>
                </pic:pic>
              </a:graphicData>
            </a:graphic>
          </wp:inline>
        </w:drawing>
      </w:r>
    </w:p>
    <w:p w:rsidR="00867943" w:rsidRPr="00867943" w:rsidRDefault="00867943" w:rsidP="00867943">
      <w:pPr>
        <w:rPr>
          <w:sz w:val="24"/>
          <w:szCs w:val="24"/>
        </w:rPr>
      </w:pPr>
      <w:r w:rsidRPr="00E9053B">
        <w:rPr>
          <w:b/>
          <w:sz w:val="24"/>
          <w:szCs w:val="24"/>
        </w:rPr>
        <w:t xml:space="preserve">Fig. </w:t>
      </w:r>
      <w:r w:rsidRPr="00E9053B">
        <w:rPr>
          <w:rFonts w:hint="eastAsia"/>
          <w:b/>
          <w:sz w:val="24"/>
          <w:szCs w:val="24"/>
        </w:rPr>
        <w:t>S</w:t>
      </w:r>
      <w:r>
        <w:rPr>
          <w:b/>
          <w:sz w:val="24"/>
          <w:szCs w:val="24"/>
        </w:rPr>
        <w:t>3</w:t>
      </w:r>
      <w:r>
        <w:rPr>
          <w:sz w:val="24"/>
          <w:szCs w:val="24"/>
        </w:rPr>
        <w:t xml:space="preserve"> </w:t>
      </w:r>
      <w:r w:rsidR="00A909D9" w:rsidRPr="00A909D9">
        <w:rPr>
          <w:rFonts w:eastAsia="等线"/>
          <w:sz w:val="24"/>
          <w:szCs w:val="24"/>
        </w:rPr>
        <w:t xml:space="preserve">HIBCH is involved in </w:t>
      </w:r>
      <w:r w:rsidR="00A909D9" w:rsidRPr="00A909D9">
        <w:rPr>
          <w:rFonts w:eastAsia="等线" w:hint="eastAsia"/>
          <w:sz w:val="24"/>
          <w:szCs w:val="24"/>
        </w:rPr>
        <w:t>CRC</w:t>
      </w:r>
      <w:r w:rsidR="00A909D9" w:rsidRPr="00A909D9">
        <w:rPr>
          <w:rFonts w:eastAsia="等线"/>
          <w:sz w:val="24"/>
          <w:szCs w:val="24"/>
        </w:rPr>
        <w:t xml:space="preserve"> </w:t>
      </w:r>
      <w:r w:rsidR="00A909D9" w:rsidRPr="00A909D9">
        <w:rPr>
          <w:rFonts w:eastAsia="等线" w:hint="eastAsia"/>
          <w:sz w:val="24"/>
          <w:szCs w:val="24"/>
        </w:rPr>
        <w:t xml:space="preserve">cell </w:t>
      </w:r>
      <w:r w:rsidR="00A909D9" w:rsidRPr="00A909D9">
        <w:rPr>
          <w:rFonts w:eastAsia="等线"/>
          <w:sz w:val="24"/>
          <w:szCs w:val="24"/>
        </w:rPr>
        <w:t>growth</w:t>
      </w:r>
      <w:r w:rsidR="00A909D9" w:rsidRPr="00A909D9">
        <w:rPr>
          <w:sz w:val="24"/>
          <w:szCs w:val="24"/>
        </w:rPr>
        <w:t xml:space="preserve">. </w:t>
      </w:r>
      <w:r w:rsidR="00A909D9">
        <w:rPr>
          <w:sz w:val="24"/>
          <w:szCs w:val="24"/>
        </w:rPr>
        <w:t>(</w:t>
      </w:r>
      <w:r>
        <w:rPr>
          <w:rFonts w:hint="eastAsia"/>
          <w:sz w:val="24"/>
          <w:szCs w:val="24"/>
        </w:rPr>
        <w:t>a</w:t>
      </w:r>
      <w:r w:rsidR="0075683C">
        <w:rPr>
          <w:sz w:val="24"/>
          <w:szCs w:val="24"/>
        </w:rPr>
        <w:t>)</w:t>
      </w:r>
      <w:r w:rsidR="0075683C" w:rsidRPr="0075683C">
        <w:rPr>
          <w:sz w:val="24"/>
          <w:szCs w:val="24"/>
        </w:rPr>
        <w:t xml:space="preserve"> </w:t>
      </w:r>
      <w:r w:rsidR="005062DA" w:rsidRPr="00E9053B">
        <w:rPr>
          <w:sz w:val="24"/>
          <w:szCs w:val="24"/>
        </w:rPr>
        <w:t xml:space="preserve">Schematic representation of the position and sequence of the transit peptide and the </w:t>
      </w:r>
      <w:r w:rsidR="001B0819">
        <w:rPr>
          <w:sz w:val="24"/>
          <w:szCs w:val="24"/>
        </w:rPr>
        <w:t xml:space="preserve">deletion of the </w:t>
      </w:r>
      <w:r w:rsidR="005062DA" w:rsidRPr="00E9053B">
        <w:rPr>
          <w:sz w:val="24"/>
          <w:szCs w:val="24"/>
        </w:rPr>
        <w:t xml:space="preserve">transit peptide </w:t>
      </w:r>
      <w:r w:rsidR="005E2332">
        <w:rPr>
          <w:sz w:val="24"/>
          <w:szCs w:val="24"/>
        </w:rPr>
        <w:t>used for</w:t>
      </w:r>
      <w:r w:rsidR="005062DA" w:rsidRPr="00E9053B">
        <w:rPr>
          <w:sz w:val="24"/>
          <w:szCs w:val="24"/>
        </w:rPr>
        <w:t xml:space="preserve"> study. </w:t>
      </w:r>
      <w:r>
        <w:rPr>
          <w:sz w:val="24"/>
          <w:szCs w:val="24"/>
        </w:rPr>
        <w:t xml:space="preserve">(b) </w:t>
      </w:r>
      <w:r w:rsidR="001B0819" w:rsidRPr="0038207A">
        <w:rPr>
          <w:rFonts w:eastAsia="等线"/>
          <w:sz w:val="24"/>
          <w:szCs w:val="24"/>
        </w:rPr>
        <w:t>HCT116 cells</w:t>
      </w:r>
      <w:r w:rsidRPr="00867943">
        <w:rPr>
          <w:sz w:val="24"/>
          <w:szCs w:val="24"/>
        </w:rPr>
        <w:t xml:space="preserve"> were transfected with various plasmid</w:t>
      </w:r>
      <w:r w:rsidR="001B0819">
        <w:rPr>
          <w:sz w:val="24"/>
          <w:szCs w:val="24"/>
        </w:rPr>
        <w:t>s</w:t>
      </w:r>
      <w:r w:rsidRPr="00867943">
        <w:rPr>
          <w:sz w:val="24"/>
          <w:szCs w:val="24"/>
        </w:rPr>
        <w:t xml:space="preserve"> as described. </w:t>
      </w:r>
      <w:bookmarkStart w:id="0" w:name="_Hlk11745251"/>
      <w:r w:rsidR="001B0819" w:rsidRPr="0038207A">
        <w:rPr>
          <w:kern w:val="0"/>
          <w:sz w:val="24"/>
          <w:szCs w:val="24"/>
        </w:rPr>
        <w:t xml:space="preserve">Then the apoptosis was determined by Annexin V/PI staining. </w:t>
      </w:r>
      <w:r w:rsidR="001B0819" w:rsidRPr="0038207A">
        <w:rPr>
          <w:rFonts w:eastAsia="等线"/>
          <w:sz w:val="24"/>
          <w:szCs w:val="24"/>
        </w:rPr>
        <w:t xml:space="preserve">Percentage of </w:t>
      </w:r>
      <w:r w:rsidR="001B0819" w:rsidRPr="0038207A">
        <w:rPr>
          <w:kern w:val="0"/>
          <w:sz w:val="24"/>
          <w:szCs w:val="24"/>
        </w:rPr>
        <w:t>Annexin V positive and PI positive cells was shown.</w:t>
      </w:r>
      <w:r w:rsidR="001B0819">
        <w:rPr>
          <w:kern w:val="0"/>
          <w:sz w:val="24"/>
          <w:szCs w:val="24"/>
        </w:rPr>
        <w:t xml:space="preserve"> </w:t>
      </w:r>
      <w:r w:rsidRPr="00867943">
        <w:rPr>
          <w:i/>
          <w:iCs/>
          <w:sz w:val="24"/>
          <w:szCs w:val="24"/>
        </w:rPr>
        <w:t>P</w:t>
      </w:r>
      <w:r w:rsidRPr="00867943">
        <w:rPr>
          <w:sz w:val="24"/>
          <w:szCs w:val="24"/>
        </w:rPr>
        <w:t xml:space="preserve"> values were determined by one-way ANOVA with Tukey’s correction.</w:t>
      </w:r>
      <w:bookmarkEnd w:id="0"/>
      <w:r w:rsidRPr="00867943">
        <w:rPr>
          <w:sz w:val="24"/>
          <w:szCs w:val="24"/>
        </w:rPr>
        <w:t xml:space="preserve"> </w:t>
      </w:r>
      <w:r>
        <w:rPr>
          <w:sz w:val="24"/>
          <w:szCs w:val="24"/>
        </w:rPr>
        <w:t xml:space="preserve">(c) </w:t>
      </w:r>
      <w:r w:rsidR="001B0819">
        <w:rPr>
          <w:sz w:val="24"/>
          <w:szCs w:val="24"/>
        </w:rPr>
        <w:t xml:space="preserve">Relative band intensity was analyzed by Image J software. </w:t>
      </w:r>
      <w:r w:rsidRPr="00867943">
        <w:rPr>
          <w:i/>
          <w:iCs/>
          <w:sz w:val="24"/>
          <w:szCs w:val="24"/>
        </w:rPr>
        <w:t>P</w:t>
      </w:r>
      <w:r w:rsidRPr="00867943">
        <w:rPr>
          <w:sz w:val="24"/>
          <w:szCs w:val="24"/>
        </w:rPr>
        <w:t xml:space="preserve"> values were determined by one-way ANOVA with Tukey’s correction. </w:t>
      </w:r>
      <w:r w:rsidR="00A96991" w:rsidRPr="0038207A">
        <w:rPr>
          <w:kern w:val="0"/>
          <w:sz w:val="24"/>
          <w:szCs w:val="24"/>
        </w:rPr>
        <w:t>Data are mean ±</w:t>
      </w:r>
      <w:r w:rsidR="00A96991" w:rsidRPr="0038207A">
        <w:rPr>
          <w:rFonts w:hint="eastAsia"/>
          <w:kern w:val="0"/>
          <w:sz w:val="24"/>
          <w:szCs w:val="24"/>
        </w:rPr>
        <w:t xml:space="preserve"> </w:t>
      </w:r>
      <w:r w:rsidR="00A96991" w:rsidRPr="0038207A">
        <w:rPr>
          <w:kern w:val="0"/>
          <w:sz w:val="24"/>
          <w:szCs w:val="24"/>
        </w:rPr>
        <w:t>SEM of three independent experiments.</w:t>
      </w:r>
      <w:r w:rsidR="00A96991">
        <w:rPr>
          <w:kern w:val="0"/>
          <w:sz w:val="24"/>
          <w:szCs w:val="24"/>
        </w:rPr>
        <w:t xml:space="preserve"> </w:t>
      </w:r>
      <w:r w:rsidR="001B0819" w:rsidRPr="0038207A">
        <w:rPr>
          <w:b/>
          <w:kern w:val="0"/>
          <w:sz w:val="24"/>
          <w:szCs w:val="24"/>
        </w:rPr>
        <w:t>*</w:t>
      </w:r>
      <w:r w:rsidR="001B0819" w:rsidRPr="0038207A">
        <w:rPr>
          <w:i/>
          <w:kern w:val="0"/>
          <w:sz w:val="24"/>
          <w:szCs w:val="24"/>
        </w:rPr>
        <w:t>P</w:t>
      </w:r>
      <w:r w:rsidR="001B0819" w:rsidRPr="0038207A">
        <w:rPr>
          <w:kern w:val="0"/>
          <w:sz w:val="24"/>
          <w:szCs w:val="24"/>
        </w:rPr>
        <w:t xml:space="preserve">&lt;0.05, </w:t>
      </w:r>
      <w:r w:rsidR="001B0819" w:rsidRPr="0038207A">
        <w:rPr>
          <w:b/>
          <w:kern w:val="0"/>
          <w:sz w:val="24"/>
          <w:szCs w:val="24"/>
        </w:rPr>
        <w:t>**</w:t>
      </w:r>
      <w:r w:rsidR="001B0819" w:rsidRPr="0038207A">
        <w:rPr>
          <w:i/>
          <w:kern w:val="0"/>
          <w:sz w:val="24"/>
          <w:szCs w:val="24"/>
        </w:rPr>
        <w:t>P</w:t>
      </w:r>
      <w:r w:rsidR="001B0819" w:rsidRPr="0038207A">
        <w:rPr>
          <w:kern w:val="0"/>
          <w:sz w:val="24"/>
          <w:szCs w:val="24"/>
        </w:rPr>
        <w:t xml:space="preserve">&lt;0.01, </w:t>
      </w:r>
      <w:r w:rsidR="001B0819" w:rsidRPr="0038207A">
        <w:rPr>
          <w:b/>
          <w:kern w:val="0"/>
          <w:sz w:val="24"/>
          <w:szCs w:val="24"/>
        </w:rPr>
        <w:t>***</w:t>
      </w:r>
      <w:r w:rsidR="001B0819" w:rsidRPr="0038207A">
        <w:rPr>
          <w:i/>
          <w:kern w:val="0"/>
          <w:sz w:val="24"/>
          <w:szCs w:val="24"/>
        </w:rPr>
        <w:t>P</w:t>
      </w:r>
      <w:r w:rsidR="001B0819" w:rsidRPr="0038207A">
        <w:rPr>
          <w:kern w:val="0"/>
          <w:sz w:val="24"/>
          <w:szCs w:val="24"/>
        </w:rPr>
        <w:t>&lt;0.001.</w:t>
      </w:r>
    </w:p>
    <w:p w:rsidR="00462A54" w:rsidRDefault="00462A54" w:rsidP="0037774C">
      <w:pPr>
        <w:rPr>
          <w:sz w:val="24"/>
          <w:szCs w:val="24"/>
        </w:rPr>
      </w:pPr>
      <w:r>
        <w:rPr>
          <w:sz w:val="24"/>
          <w:szCs w:val="24"/>
        </w:rPr>
        <w:br w:type="page"/>
      </w:r>
    </w:p>
    <w:p w:rsidR="00867943" w:rsidRPr="00867943" w:rsidRDefault="00462A54" w:rsidP="0037774C">
      <w:pPr>
        <w:rPr>
          <w:sz w:val="24"/>
          <w:szCs w:val="24"/>
        </w:rPr>
      </w:pPr>
      <w:r>
        <w:rPr>
          <w:noProof/>
          <w:sz w:val="24"/>
          <w:szCs w:val="24"/>
        </w:rPr>
        <w:lastRenderedPageBreak/>
        <w:drawing>
          <wp:inline distT="0" distB="0" distL="0" distR="0">
            <wp:extent cx="5239512" cy="2316480"/>
            <wp:effectExtent l="0" t="0" r="0" b="762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upplementary Figure 4.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39512" cy="2316480"/>
                    </a:xfrm>
                    <a:prstGeom prst="rect">
                      <a:avLst/>
                    </a:prstGeom>
                  </pic:spPr>
                </pic:pic>
              </a:graphicData>
            </a:graphic>
          </wp:inline>
        </w:drawing>
      </w:r>
    </w:p>
    <w:p w:rsidR="00867943" w:rsidRDefault="00462A54" w:rsidP="0037774C">
      <w:pPr>
        <w:rPr>
          <w:sz w:val="24"/>
          <w:szCs w:val="24"/>
        </w:rPr>
      </w:pPr>
      <w:r w:rsidRPr="00E9053B">
        <w:rPr>
          <w:b/>
          <w:sz w:val="24"/>
          <w:szCs w:val="24"/>
        </w:rPr>
        <w:t xml:space="preserve">Fig. </w:t>
      </w:r>
      <w:r w:rsidRPr="00E9053B">
        <w:rPr>
          <w:rFonts w:hint="eastAsia"/>
          <w:b/>
          <w:sz w:val="24"/>
          <w:szCs w:val="24"/>
        </w:rPr>
        <w:t>S</w:t>
      </w:r>
      <w:r>
        <w:rPr>
          <w:b/>
          <w:sz w:val="24"/>
          <w:szCs w:val="24"/>
        </w:rPr>
        <w:t>4</w:t>
      </w:r>
      <w:r>
        <w:rPr>
          <w:sz w:val="24"/>
          <w:szCs w:val="24"/>
        </w:rPr>
        <w:t xml:space="preserve"> </w:t>
      </w:r>
      <w:r w:rsidR="00A96991" w:rsidRPr="00A96991">
        <w:rPr>
          <w:rFonts w:eastAsia="等线"/>
          <w:sz w:val="24"/>
          <w:szCs w:val="24"/>
        </w:rPr>
        <w:t>HIBCH deficiency results in decreased TCA cycle in CRCs.</w:t>
      </w:r>
      <w:r w:rsidR="00A96991" w:rsidRPr="0038207A">
        <w:rPr>
          <w:rFonts w:eastAsia="等线"/>
          <w:sz w:val="24"/>
          <w:szCs w:val="24"/>
        </w:rPr>
        <w:t xml:space="preserve"> </w:t>
      </w:r>
      <w:r w:rsidR="00A96991">
        <w:rPr>
          <w:rFonts w:eastAsia="等线"/>
          <w:sz w:val="24"/>
          <w:szCs w:val="24"/>
        </w:rPr>
        <w:t xml:space="preserve">(a-b) </w:t>
      </w:r>
      <w:r w:rsidR="00A96991" w:rsidRPr="0038207A">
        <w:rPr>
          <w:rFonts w:eastAsia="等线"/>
          <w:sz w:val="24"/>
          <w:szCs w:val="24"/>
        </w:rPr>
        <w:t>HCT116 c</w:t>
      </w:r>
      <w:bookmarkStart w:id="1" w:name="_Hlk11761426"/>
      <w:r w:rsidR="00A96991" w:rsidRPr="0038207A">
        <w:rPr>
          <w:rFonts w:eastAsia="等线"/>
          <w:sz w:val="24"/>
          <w:szCs w:val="24"/>
        </w:rPr>
        <w:t>ells were overexpressed with HIBCH vector or interfered with HIBCH-shRNA for 48 h</w:t>
      </w:r>
      <w:bookmarkEnd w:id="1"/>
      <w:r w:rsidR="00A96991" w:rsidRPr="0038207A">
        <w:rPr>
          <w:rFonts w:eastAsia="等线"/>
          <w:sz w:val="24"/>
          <w:szCs w:val="24"/>
        </w:rPr>
        <w:t>.</w:t>
      </w:r>
      <w:r w:rsidR="00A96991">
        <w:rPr>
          <w:sz w:val="24"/>
          <w:szCs w:val="24"/>
        </w:rPr>
        <w:t xml:space="preserve"> </w:t>
      </w:r>
      <w:r>
        <w:rPr>
          <w:sz w:val="24"/>
          <w:szCs w:val="24"/>
        </w:rPr>
        <w:t>(</w:t>
      </w:r>
      <w:r>
        <w:rPr>
          <w:rFonts w:hint="eastAsia"/>
          <w:sz w:val="24"/>
          <w:szCs w:val="24"/>
        </w:rPr>
        <w:t>a</w:t>
      </w:r>
      <w:r>
        <w:rPr>
          <w:sz w:val="24"/>
          <w:szCs w:val="24"/>
        </w:rPr>
        <w:t>)</w:t>
      </w:r>
      <w:r w:rsidRPr="00462A54">
        <w:t xml:space="preserve"> </w:t>
      </w:r>
      <w:r w:rsidRPr="00462A54">
        <w:rPr>
          <w:sz w:val="24"/>
          <w:szCs w:val="24"/>
        </w:rPr>
        <w:t xml:space="preserve">3-Hydroxyisobutyryl-CoA (left) and 3-Hydroxyisobutyrate (right) levels in cells were measured by ultrafast UFLC-MS. </w:t>
      </w:r>
      <w:r w:rsidRPr="00462A54">
        <w:rPr>
          <w:i/>
          <w:iCs/>
          <w:sz w:val="24"/>
          <w:szCs w:val="24"/>
        </w:rPr>
        <w:t>P</w:t>
      </w:r>
      <w:r w:rsidRPr="00462A54">
        <w:rPr>
          <w:sz w:val="24"/>
          <w:szCs w:val="24"/>
        </w:rPr>
        <w:t xml:space="preserve"> values were determined by Student’s t-test. </w:t>
      </w:r>
      <w:r w:rsidRPr="00E9053B">
        <w:rPr>
          <w:sz w:val="24"/>
          <w:szCs w:val="24"/>
        </w:rPr>
        <w:t>(</w:t>
      </w:r>
      <w:r>
        <w:rPr>
          <w:sz w:val="24"/>
          <w:szCs w:val="24"/>
        </w:rPr>
        <w:t>b</w:t>
      </w:r>
      <w:r w:rsidRPr="00E9053B">
        <w:rPr>
          <w:sz w:val="24"/>
          <w:szCs w:val="24"/>
        </w:rPr>
        <w:t xml:space="preserve">) </w:t>
      </w:r>
      <w:r>
        <w:rPr>
          <w:sz w:val="24"/>
          <w:szCs w:val="24"/>
        </w:rPr>
        <w:t>Propion</w:t>
      </w:r>
      <w:r w:rsidRPr="0075683C">
        <w:rPr>
          <w:sz w:val="24"/>
          <w:szCs w:val="24"/>
        </w:rPr>
        <w:t xml:space="preserve">yl-CoA levels </w:t>
      </w:r>
      <w:r w:rsidR="00A96991">
        <w:rPr>
          <w:sz w:val="24"/>
          <w:szCs w:val="24"/>
        </w:rPr>
        <w:t>were</w:t>
      </w:r>
      <w:r w:rsidRPr="0075683C">
        <w:rPr>
          <w:sz w:val="24"/>
          <w:szCs w:val="24"/>
        </w:rPr>
        <w:t xml:space="preserve"> measured by UFLC-MS. </w:t>
      </w:r>
      <w:r w:rsidRPr="00FF17D0">
        <w:rPr>
          <w:i/>
          <w:iCs/>
          <w:sz w:val="24"/>
          <w:szCs w:val="24"/>
        </w:rPr>
        <w:t>P</w:t>
      </w:r>
      <w:r w:rsidRPr="0075683C">
        <w:rPr>
          <w:sz w:val="24"/>
          <w:szCs w:val="24"/>
        </w:rPr>
        <w:t xml:space="preserve"> values were determined by Student’s t-test.</w:t>
      </w:r>
      <w:r w:rsidRPr="00462A54">
        <w:rPr>
          <w:sz w:val="24"/>
          <w:szCs w:val="24"/>
        </w:rPr>
        <w:t xml:space="preserve"> </w:t>
      </w:r>
      <w:r>
        <w:rPr>
          <w:sz w:val="24"/>
          <w:szCs w:val="24"/>
        </w:rPr>
        <w:t xml:space="preserve">(c) </w:t>
      </w:r>
      <w:r w:rsidR="00A96991" w:rsidRPr="0038207A">
        <w:rPr>
          <w:rFonts w:eastAsia="等线"/>
          <w:sz w:val="24"/>
          <w:szCs w:val="24"/>
        </w:rPr>
        <w:t xml:space="preserve">HCT116 cells </w:t>
      </w:r>
      <w:r w:rsidR="00A96991" w:rsidRPr="0038207A">
        <w:rPr>
          <w:rFonts w:eastAsia="等线" w:hint="eastAsia"/>
          <w:sz w:val="24"/>
          <w:szCs w:val="24"/>
        </w:rPr>
        <w:t xml:space="preserve">were overexpressed with HIBCH vector for 24 h. Then cells were incubated with </w:t>
      </w:r>
      <w:r w:rsidR="00A96991" w:rsidRPr="0038207A">
        <w:rPr>
          <w:rFonts w:eastAsia="等线"/>
          <w:sz w:val="24"/>
          <w:szCs w:val="24"/>
        </w:rPr>
        <w:t>DMSO or SBF-1 (1000</w:t>
      </w:r>
      <w:r w:rsidR="00A96991" w:rsidRPr="0038207A">
        <w:rPr>
          <w:rFonts w:eastAsia="等线" w:hint="eastAsia"/>
          <w:sz w:val="24"/>
          <w:szCs w:val="24"/>
        </w:rPr>
        <w:t xml:space="preserve"> </w:t>
      </w:r>
      <w:r w:rsidR="00A96991" w:rsidRPr="0038207A">
        <w:rPr>
          <w:rFonts w:eastAsia="等线"/>
          <w:sz w:val="24"/>
          <w:szCs w:val="24"/>
        </w:rPr>
        <w:t>nM) for</w:t>
      </w:r>
      <w:r w:rsidR="00A96991" w:rsidRPr="0038207A">
        <w:rPr>
          <w:rFonts w:eastAsia="等线" w:hint="eastAsia"/>
          <w:sz w:val="24"/>
          <w:szCs w:val="24"/>
        </w:rPr>
        <w:t xml:space="preserve"> 24 h. </w:t>
      </w:r>
      <w:r>
        <w:rPr>
          <w:sz w:val="24"/>
          <w:szCs w:val="24"/>
        </w:rPr>
        <w:t>Propion</w:t>
      </w:r>
      <w:r w:rsidRPr="00FF17D0">
        <w:rPr>
          <w:sz w:val="24"/>
          <w:szCs w:val="24"/>
        </w:rPr>
        <w:t>yl-CoA level</w:t>
      </w:r>
      <w:r w:rsidR="00A96991">
        <w:rPr>
          <w:sz w:val="24"/>
          <w:szCs w:val="24"/>
        </w:rPr>
        <w:t>s</w:t>
      </w:r>
      <w:r w:rsidRPr="00FF17D0">
        <w:rPr>
          <w:sz w:val="24"/>
          <w:szCs w:val="24"/>
        </w:rPr>
        <w:t xml:space="preserve"> </w:t>
      </w:r>
      <w:r>
        <w:rPr>
          <w:sz w:val="24"/>
          <w:szCs w:val="24"/>
        </w:rPr>
        <w:t xml:space="preserve">in cell </w:t>
      </w:r>
      <w:r w:rsidR="00A96991">
        <w:rPr>
          <w:sz w:val="24"/>
          <w:szCs w:val="24"/>
        </w:rPr>
        <w:t>were</w:t>
      </w:r>
      <w:r w:rsidRPr="00FF17D0">
        <w:rPr>
          <w:sz w:val="24"/>
          <w:szCs w:val="24"/>
        </w:rPr>
        <w:t xml:space="preserve"> measured by UFLC-MS</w:t>
      </w:r>
      <w:r w:rsidR="00A96991" w:rsidRPr="00A96991">
        <w:rPr>
          <w:sz w:val="24"/>
          <w:szCs w:val="24"/>
        </w:rPr>
        <w:t xml:space="preserve"> </w:t>
      </w:r>
      <w:r w:rsidR="00A96991">
        <w:rPr>
          <w:sz w:val="24"/>
          <w:szCs w:val="24"/>
        </w:rPr>
        <w:t>as indicated treatment</w:t>
      </w:r>
      <w:r w:rsidRPr="00FF17D0">
        <w:rPr>
          <w:sz w:val="24"/>
          <w:szCs w:val="24"/>
        </w:rPr>
        <w:t xml:space="preserve">. </w:t>
      </w:r>
      <w:r w:rsidRPr="00FF17D0">
        <w:rPr>
          <w:i/>
          <w:iCs/>
          <w:sz w:val="24"/>
          <w:szCs w:val="24"/>
        </w:rPr>
        <w:t>P</w:t>
      </w:r>
      <w:r w:rsidRPr="00FF17D0">
        <w:rPr>
          <w:sz w:val="24"/>
          <w:szCs w:val="24"/>
        </w:rPr>
        <w:t xml:space="preserve"> values were determined by Student’s t-test.</w:t>
      </w:r>
      <w:r w:rsidRPr="00462A54">
        <w:rPr>
          <w:sz w:val="24"/>
          <w:szCs w:val="24"/>
        </w:rPr>
        <w:t xml:space="preserve"> </w:t>
      </w:r>
      <w:r w:rsidR="00A96991" w:rsidRPr="0038207A">
        <w:rPr>
          <w:kern w:val="0"/>
          <w:sz w:val="24"/>
          <w:szCs w:val="24"/>
        </w:rPr>
        <w:t>Data are mean ±</w:t>
      </w:r>
      <w:r w:rsidR="00A96991" w:rsidRPr="0038207A">
        <w:rPr>
          <w:rFonts w:hint="eastAsia"/>
          <w:kern w:val="0"/>
          <w:sz w:val="24"/>
          <w:szCs w:val="24"/>
        </w:rPr>
        <w:t xml:space="preserve"> </w:t>
      </w:r>
      <w:r w:rsidR="00A96991" w:rsidRPr="0038207A">
        <w:rPr>
          <w:kern w:val="0"/>
          <w:sz w:val="24"/>
          <w:szCs w:val="24"/>
        </w:rPr>
        <w:t>SEM of three independent experiments.</w:t>
      </w:r>
      <w:r w:rsidR="00A96991">
        <w:rPr>
          <w:kern w:val="0"/>
          <w:sz w:val="24"/>
          <w:szCs w:val="24"/>
        </w:rPr>
        <w:t xml:space="preserve"> </w:t>
      </w:r>
      <w:r w:rsidR="00A96991" w:rsidRPr="0038207A">
        <w:rPr>
          <w:b/>
          <w:kern w:val="0"/>
          <w:sz w:val="24"/>
          <w:szCs w:val="24"/>
        </w:rPr>
        <w:t>*</w:t>
      </w:r>
      <w:r w:rsidR="00A96991" w:rsidRPr="0038207A">
        <w:rPr>
          <w:i/>
          <w:kern w:val="0"/>
          <w:sz w:val="24"/>
          <w:szCs w:val="24"/>
        </w:rPr>
        <w:t>P</w:t>
      </w:r>
      <w:r w:rsidR="00A96991" w:rsidRPr="0038207A">
        <w:rPr>
          <w:kern w:val="0"/>
          <w:sz w:val="24"/>
          <w:szCs w:val="24"/>
        </w:rPr>
        <w:t xml:space="preserve">&lt;0.05, </w:t>
      </w:r>
      <w:r w:rsidR="00A96991" w:rsidRPr="0038207A">
        <w:rPr>
          <w:b/>
          <w:kern w:val="0"/>
          <w:sz w:val="24"/>
          <w:szCs w:val="24"/>
        </w:rPr>
        <w:t>**</w:t>
      </w:r>
      <w:r w:rsidR="00A96991" w:rsidRPr="0038207A">
        <w:rPr>
          <w:i/>
          <w:kern w:val="0"/>
          <w:sz w:val="24"/>
          <w:szCs w:val="24"/>
        </w:rPr>
        <w:t>P</w:t>
      </w:r>
      <w:r w:rsidR="00A96991" w:rsidRPr="0038207A">
        <w:rPr>
          <w:kern w:val="0"/>
          <w:sz w:val="24"/>
          <w:szCs w:val="24"/>
        </w:rPr>
        <w:t xml:space="preserve">&lt;0.01, </w:t>
      </w:r>
      <w:r w:rsidR="00A96991" w:rsidRPr="0038207A">
        <w:rPr>
          <w:b/>
          <w:kern w:val="0"/>
          <w:sz w:val="24"/>
          <w:szCs w:val="24"/>
        </w:rPr>
        <w:t>***</w:t>
      </w:r>
      <w:r w:rsidR="00A96991" w:rsidRPr="0038207A">
        <w:rPr>
          <w:i/>
          <w:kern w:val="0"/>
          <w:sz w:val="24"/>
          <w:szCs w:val="24"/>
        </w:rPr>
        <w:t>P</w:t>
      </w:r>
      <w:r w:rsidR="00A96991" w:rsidRPr="0038207A">
        <w:rPr>
          <w:kern w:val="0"/>
          <w:sz w:val="24"/>
          <w:szCs w:val="24"/>
        </w:rPr>
        <w:t>&lt;0.001.</w:t>
      </w:r>
    </w:p>
    <w:p w:rsidR="00462A54" w:rsidRDefault="00462A54" w:rsidP="0037774C">
      <w:pPr>
        <w:rPr>
          <w:sz w:val="24"/>
          <w:szCs w:val="24"/>
        </w:rPr>
      </w:pPr>
      <w:r>
        <w:rPr>
          <w:sz w:val="24"/>
          <w:szCs w:val="24"/>
        </w:rPr>
        <w:br w:type="page"/>
      </w:r>
    </w:p>
    <w:p w:rsidR="00867943" w:rsidRDefault="00462A54" w:rsidP="0037774C">
      <w:pPr>
        <w:rPr>
          <w:sz w:val="24"/>
          <w:szCs w:val="24"/>
        </w:rPr>
      </w:pPr>
      <w:r>
        <w:rPr>
          <w:noProof/>
          <w:sz w:val="24"/>
          <w:szCs w:val="24"/>
        </w:rPr>
        <w:lastRenderedPageBreak/>
        <w:drawing>
          <wp:inline distT="0" distB="0" distL="0" distR="0">
            <wp:extent cx="5274310" cy="5380355"/>
            <wp:effectExtent l="0" t="0" r="254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upplementary Figure 5.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5380355"/>
                    </a:xfrm>
                    <a:prstGeom prst="rect">
                      <a:avLst/>
                    </a:prstGeom>
                  </pic:spPr>
                </pic:pic>
              </a:graphicData>
            </a:graphic>
          </wp:inline>
        </w:drawing>
      </w:r>
    </w:p>
    <w:p w:rsidR="007278D0" w:rsidRPr="00E9053B" w:rsidRDefault="00462A54" w:rsidP="0037774C">
      <w:pPr>
        <w:rPr>
          <w:sz w:val="24"/>
          <w:szCs w:val="24"/>
        </w:rPr>
      </w:pPr>
      <w:r w:rsidRPr="00E9053B">
        <w:rPr>
          <w:b/>
          <w:sz w:val="24"/>
          <w:szCs w:val="24"/>
        </w:rPr>
        <w:t xml:space="preserve">Fig. </w:t>
      </w:r>
      <w:r w:rsidRPr="00E9053B">
        <w:rPr>
          <w:rFonts w:hint="eastAsia"/>
          <w:b/>
          <w:sz w:val="24"/>
          <w:szCs w:val="24"/>
        </w:rPr>
        <w:t>S</w:t>
      </w:r>
      <w:r>
        <w:rPr>
          <w:b/>
          <w:sz w:val="24"/>
          <w:szCs w:val="24"/>
        </w:rPr>
        <w:t>5</w:t>
      </w:r>
      <w:r w:rsidRPr="00462A54">
        <w:rPr>
          <w:bCs/>
          <w:sz w:val="24"/>
          <w:szCs w:val="24"/>
        </w:rPr>
        <w:t xml:space="preserve"> </w:t>
      </w:r>
      <w:r w:rsidR="00C52551" w:rsidRPr="00C52551">
        <w:rPr>
          <w:rFonts w:eastAsia="等线" w:hint="eastAsia"/>
          <w:sz w:val="24"/>
          <w:szCs w:val="24"/>
        </w:rPr>
        <w:t>SBF-1</w:t>
      </w:r>
      <w:r w:rsidR="00C52551" w:rsidRPr="00C52551">
        <w:rPr>
          <w:sz w:val="24"/>
          <w:szCs w:val="24"/>
        </w:rPr>
        <w:t xml:space="preserve"> </w:t>
      </w:r>
      <w:r w:rsidR="00C52551">
        <w:rPr>
          <w:sz w:val="24"/>
          <w:szCs w:val="24"/>
        </w:rPr>
        <w:t xml:space="preserve">inhibits CRC cell growth. </w:t>
      </w:r>
      <w:r w:rsidR="009A041E" w:rsidRPr="00E9053B">
        <w:rPr>
          <w:sz w:val="24"/>
          <w:szCs w:val="24"/>
        </w:rPr>
        <w:t>(</w:t>
      </w:r>
      <w:r>
        <w:rPr>
          <w:sz w:val="24"/>
          <w:szCs w:val="24"/>
        </w:rPr>
        <w:t>a</w:t>
      </w:r>
      <w:r w:rsidR="009A041E" w:rsidRPr="00E9053B">
        <w:rPr>
          <w:sz w:val="24"/>
          <w:szCs w:val="24"/>
        </w:rPr>
        <w:t>)</w:t>
      </w:r>
      <w:r w:rsidR="007278D0" w:rsidRPr="00E9053B">
        <w:rPr>
          <w:sz w:val="24"/>
          <w:szCs w:val="24"/>
        </w:rPr>
        <w:t xml:space="preserve"> A model of HIBCH with SBF-1 docked into the binding site.</w:t>
      </w:r>
      <w:r w:rsidR="0075683C">
        <w:rPr>
          <w:sz w:val="24"/>
          <w:szCs w:val="24"/>
        </w:rPr>
        <w:t xml:space="preserve"> (</w:t>
      </w:r>
      <w:r>
        <w:rPr>
          <w:sz w:val="24"/>
          <w:szCs w:val="24"/>
        </w:rPr>
        <w:t>b</w:t>
      </w:r>
      <w:r w:rsidR="0075683C">
        <w:rPr>
          <w:sz w:val="24"/>
          <w:szCs w:val="24"/>
        </w:rPr>
        <w:t>)</w:t>
      </w:r>
      <w:r w:rsidR="007278D0" w:rsidRPr="00E9053B">
        <w:rPr>
          <w:sz w:val="24"/>
          <w:szCs w:val="24"/>
        </w:rPr>
        <w:t xml:space="preserve"> </w:t>
      </w:r>
      <w:r w:rsidR="00FF17D0" w:rsidRPr="00FF17D0">
        <w:rPr>
          <w:sz w:val="24"/>
          <w:szCs w:val="24"/>
        </w:rPr>
        <w:t xml:space="preserve">The interaction of </w:t>
      </w:r>
      <w:r w:rsidR="00FF17D0">
        <w:rPr>
          <w:sz w:val="24"/>
          <w:szCs w:val="24"/>
        </w:rPr>
        <w:t>SBF-1</w:t>
      </w:r>
      <w:r w:rsidR="00FF17D0" w:rsidRPr="00FF17D0">
        <w:rPr>
          <w:sz w:val="24"/>
          <w:szCs w:val="24"/>
        </w:rPr>
        <w:t xml:space="preserve"> with GFP-tagged </w:t>
      </w:r>
      <w:r w:rsidR="00FF17D0">
        <w:rPr>
          <w:sz w:val="24"/>
          <w:szCs w:val="24"/>
        </w:rPr>
        <w:t>HIBCH</w:t>
      </w:r>
      <w:r w:rsidR="00FF17D0" w:rsidRPr="00FF17D0">
        <w:rPr>
          <w:sz w:val="24"/>
          <w:szCs w:val="24"/>
        </w:rPr>
        <w:t xml:space="preserve"> was </w:t>
      </w:r>
      <w:r w:rsidR="00AC1C1E">
        <w:rPr>
          <w:sz w:val="24"/>
          <w:szCs w:val="24"/>
        </w:rPr>
        <w:t>determined</w:t>
      </w:r>
      <w:r w:rsidR="00FF17D0" w:rsidRPr="00FF17D0">
        <w:rPr>
          <w:sz w:val="24"/>
          <w:szCs w:val="24"/>
        </w:rPr>
        <w:t xml:space="preserve"> using MST. Data from three separate measurements were normalized and plotted, and a</w:t>
      </w:r>
      <w:r w:rsidR="00FF17D0">
        <w:rPr>
          <w:sz w:val="24"/>
          <w:szCs w:val="24"/>
        </w:rPr>
        <w:t xml:space="preserve"> </w:t>
      </w:r>
      <w:r w:rsidR="00FF17D0" w:rsidRPr="00FF17D0">
        <w:rPr>
          <w:sz w:val="24"/>
          <w:szCs w:val="24"/>
        </w:rPr>
        <w:t>sigmoidal dose-response curve was fitted.</w:t>
      </w:r>
      <w:r w:rsidR="00FF17D0">
        <w:rPr>
          <w:sz w:val="24"/>
          <w:szCs w:val="24"/>
        </w:rPr>
        <w:t xml:space="preserve"> </w:t>
      </w:r>
      <w:r w:rsidR="00AC1C1E" w:rsidRPr="00FF17D0">
        <w:rPr>
          <w:sz w:val="24"/>
          <w:szCs w:val="24"/>
        </w:rPr>
        <w:t>Data</w:t>
      </w:r>
      <w:r w:rsidR="00FF17D0" w:rsidRPr="00FF17D0">
        <w:rPr>
          <w:sz w:val="24"/>
          <w:szCs w:val="24"/>
        </w:rPr>
        <w:t xml:space="preserve"> are mean values ± SEM. </w:t>
      </w:r>
      <w:r w:rsidR="0075683C">
        <w:rPr>
          <w:sz w:val="24"/>
          <w:szCs w:val="24"/>
        </w:rPr>
        <w:t>(</w:t>
      </w:r>
      <w:r>
        <w:rPr>
          <w:sz w:val="24"/>
          <w:szCs w:val="24"/>
        </w:rPr>
        <w:t>c</w:t>
      </w:r>
      <w:r w:rsidR="0075683C">
        <w:rPr>
          <w:sz w:val="24"/>
          <w:szCs w:val="24"/>
        </w:rPr>
        <w:t xml:space="preserve">) </w:t>
      </w:r>
      <w:r w:rsidR="0037774C" w:rsidRPr="0037774C">
        <w:rPr>
          <w:sz w:val="24"/>
          <w:szCs w:val="24"/>
        </w:rPr>
        <w:t>Cells were treated with of MK2206</w:t>
      </w:r>
      <w:r w:rsidR="0037774C">
        <w:rPr>
          <w:sz w:val="24"/>
          <w:szCs w:val="24"/>
        </w:rPr>
        <w:t xml:space="preserve"> (</w:t>
      </w:r>
      <w:r w:rsidR="0037774C" w:rsidRPr="0037774C">
        <w:rPr>
          <w:sz w:val="24"/>
          <w:szCs w:val="24"/>
        </w:rPr>
        <w:t>40 nM</w:t>
      </w:r>
      <w:r w:rsidR="0037774C">
        <w:rPr>
          <w:sz w:val="24"/>
          <w:szCs w:val="24"/>
        </w:rPr>
        <w:t>) or TG (</w:t>
      </w:r>
      <w:r w:rsidR="0037774C" w:rsidRPr="0037774C">
        <w:rPr>
          <w:sz w:val="24"/>
          <w:szCs w:val="24"/>
        </w:rPr>
        <w:t>5</w:t>
      </w:r>
      <w:r w:rsidR="0037774C">
        <w:rPr>
          <w:sz w:val="24"/>
          <w:szCs w:val="24"/>
        </w:rPr>
        <w:t xml:space="preserve"> </w:t>
      </w:r>
      <w:r w:rsidR="0037774C" w:rsidRPr="0037774C">
        <w:rPr>
          <w:rFonts w:ascii="Symbol" w:hAnsi="Symbol"/>
          <w:sz w:val="24"/>
          <w:szCs w:val="24"/>
        </w:rPr>
        <w:t></w:t>
      </w:r>
      <w:r w:rsidR="0037774C" w:rsidRPr="0037774C">
        <w:rPr>
          <w:sz w:val="24"/>
          <w:szCs w:val="24"/>
        </w:rPr>
        <w:t>M</w:t>
      </w:r>
      <w:r w:rsidR="0037774C">
        <w:rPr>
          <w:sz w:val="24"/>
          <w:szCs w:val="24"/>
        </w:rPr>
        <w:t>)</w:t>
      </w:r>
      <w:r w:rsidR="0037774C" w:rsidRPr="0037774C">
        <w:rPr>
          <w:sz w:val="24"/>
          <w:szCs w:val="24"/>
        </w:rPr>
        <w:t xml:space="preserve"> for </w:t>
      </w:r>
      <w:r w:rsidR="0037774C">
        <w:rPr>
          <w:sz w:val="24"/>
          <w:szCs w:val="24"/>
        </w:rPr>
        <w:t>24</w:t>
      </w:r>
      <w:r w:rsidR="0037774C" w:rsidRPr="0037774C">
        <w:rPr>
          <w:sz w:val="24"/>
          <w:szCs w:val="24"/>
        </w:rPr>
        <w:t xml:space="preserve"> h. The mitochondria and the cytoplasm protein extract </w:t>
      </w:r>
      <w:r w:rsidR="0037774C">
        <w:rPr>
          <w:sz w:val="24"/>
          <w:szCs w:val="24"/>
        </w:rPr>
        <w:t>were</w:t>
      </w:r>
      <w:r w:rsidR="0037774C" w:rsidRPr="0037774C">
        <w:rPr>
          <w:sz w:val="24"/>
          <w:szCs w:val="24"/>
        </w:rPr>
        <w:t xml:space="preserve"> subjected</w:t>
      </w:r>
      <w:r w:rsidR="0037774C">
        <w:rPr>
          <w:sz w:val="24"/>
          <w:szCs w:val="24"/>
        </w:rPr>
        <w:t xml:space="preserve"> </w:t>
      </w:r>
      <w:r w:rsidR="0037774C" w:rsidRPr="0037774C">
        <w:rPr>
          <w:sz w:val="24"/>
          <w:szCs w:val="24"/>
        </w:rPr>
        <w:t xml:space="preserve">to immunoblot analysis for the detection of </w:t>
      </w:r>
      <w:r w:rsidR="0037774C">
        <w:rPr>
          <w:sz w:val="24"/>
          <w:szCs w:val="24"/>
        </w:rPr>
        <w:t xml:space="preserve">HIBCH </w:t>
      </w:r>
      <w:r w:rsidR="0037774C" w:rsidRPr="0037774C">
        <w:rPr>
          <w:sz w:val="24"/>
          <w:szCs w:val="24"/>
        </w:rPr>
        <w:t xml:space="preserve">localization. </w:t>
      </w:r>
      <w:r w:rsidR="009A041E" w:rsidRPr="00E9053B">
        <w:rPr>
          <w:sz w:val="24"/>
          <w:szCs w:val="24"/>
        </w:rPr>
        <w:t>(</w:t>
      </w:r>
      <w:r>
        <w:rPr>
          <w:sz w:val="24"/>
          <w:szCs w:val="24"/>
        </w:rPr>
        <w:t>d</w:t>
      </w:r>
      <w:r w:rsidR="009A041E" w:rsidRPr="00E9053B">
        <w:rPr>
          <w:sz w:val="24"/>
          <w:szCs w:val="24"/>
        </w:rPr>
        <w:t>)</w:t>
      </w:r>
      <w:r w:rsidR="007278D0" w:rsidRPr="00E9053B">
        <w:rPr>
          <w:sz w:val="24"/>
          <w:szCs w:val="24"/>
        </w:rPr>
        <w:t xml:space="preserve"> HCT116 cells were seeded in 96-well plates and incubated with various concentrations of SBF-1 for 72 h. The inhibitory rate </w:t>
      </w:r>
      <w:r w:rsidR="007278D0" w:rsidRPr="00E9053B">
        <w:rPr>
          <w:sz w:val="24"/>
          <w:szCs w:val="24"/>
        </w:rPr>
        <w:lastRenderedPageBreak/>
        <w:t>of SBF-1 on the cell proliferation was determined by MTT assay. Data are mean ±</w:t>
      </w:r>
      <w:r w:rsidR="007278D0" w:rsidRPr="00E9053B">
        <w:rPr>
          <w:rFonts w:hint="eastAsia"/>
          <w:sz w:val="24"/>
          <w:szCs w:val="24"/>
        </w:rPr>
        <w:t xml:space="preserve"> </w:t>
      </w:r>
      <w:r w:rsidR="007278D0" w:rsidRPr="00E9053B">
        <w:rPr>
          <w:sz w:val="24"/>
          <w:szCs w:val="24"/>
        </w:rPr>
        <w:t xml:space="preserve">SEM of three independent experiments. </w:t>
      </w:r>
      <w:r w:rsidR="007278D0" w:rsidRPr="00462A54">
        <w:rPr>
          <w:i/>
          <w:iCs/>
          <w:sz w:val="24"/>
          <w:szCs w:val="24"/>
        </w:rPr>
        <w:t xml:space="preserve">P </w:t>
      </w:r>
      <w:r w:rsidR="007278D0" w:rsidRPr="00E9053B">
        <w:rPr>
          <w:sz w:val="24"/>
          <w:szCs w:val="24"/>
        </w:rPr>
        <w:t xml:space="preserve">values were determined by one-way ANOVA with Tukey’s correction. </w:t>
      </w:r>
      <w:r w:rsidR="009A041E" w:rsidRPr="00E9053B">
        <w:rPr>
          <w:sz w:val="24"/>
          <w:szCs w:val="24"/>
        </w:rPr>
        <w:t>(</w:t>
      </w:r>
      <w:r>
        <w:rPr>
          <w:sz w:val="24"/>
          <w:szCs w:val="24"/>
        </w:rPr>
        <w:t>e</w:t>
      </w:r>
      <w:r w:rsidR="009A041E" w:rsidRPr="00E9053B">
        <w:rPr>
          <w:sz w:val="24"/>
          <w:szCs w:val="24"/>
        </w:rPr>
        <w:t>)</w:t>
      </w:r>
      <w:r w:rsidR="007278D0" w:rsidRPr="00E9053B">
        <w:rPr>
          <w:sz w:val="24"/>
          <w:szCs w:val="24"/>
        </w:rPr>
        <w:t xml:space="preserve"> HCT116 cells were incubated with SBF-1 (1000</w:t>
      </w:r>
      <w:r w:rsidR="007278D0" w:rsidRPr="00E9053B">
        <w:rPr>
          <w:rFonts w:hint="eastAsia"/>
          <w:sz w:val="24"/>
          <w:szCs w:val="24"/>
        </w:rPr>
        <w:t xml:space="preserve"> </w:t>
      </w:r>
      <w:r w:rsidR="007278D0" w:rsidRPr="00E9053B">
        <w:rPr>
          <w:sz w:val="24"/>
          <w:szCs w:val="24"/>
        </w:rPr>
        <w:t xml:space="preserve">nM) for the indicated time. Then the apoptosis was determined by Annexin V/PI staining. Percentage of Annexin V positive and PI positive cells was shown. </w:t>
      </w:r>
      <w:r w:rsidR="007278D0" w:rsidRPr="00462A54">
        <w:rPr>
          <w:i/>
          <w:iCs/>
          <w:sz w:val="24"/>
          <w:szCs w:val="24"/>
        </w:rPr>
        <w:t>P</w:t>
      </w:r>
      <w:r w:rsidR="007278D0" w:rsidRPr="00E9053B">
        <w:rPr>
          <w:sz w:val="24"/>
          <w:szCs w:val="24"/>
        </w:rPr>
        <w:t xml:space="preserve"> values were determined by one-way ANOVA with Tukey’s correction.</w:t>
      </w:r>
      <w:r w:rsidR="00D816AE" w:rsidRPr="00D816AE">
        <w:rPr>
          <w:sz w:val="24"/>
          <w:szCs w:val="24"/>
        </w:rPr>
        <w:t xml:space="preserve"> </w:t>
      </w:r>
      <w:r w:rsidR="00D816AE" w:rsidRPr="00E9053B">
        <w:rPr>
          <w:sz w:val="24"/>
          <w:szCs w:val="24"/>
        </w:rPr>
        <w:t>Data are mean ±</w:t>
      </w:r>
      <w:r w:rsidR="00D816AE" w:rsidRPr="00E9053B">
        <w:rPr>
          <w:rFonts w:hint="eastAsia"/>
          <w:sz w:val="24"/>
          <w:szCs w:val="24"/>
        </w:rPr>
        <w:t xml:space="preserve"> </w:t>
      </w:r>
      <w:r w:rsidR="00D816AE" w:rsidRPr="00E9053B">
        <w:rPr>
          <w:sz w:val="24"/>
          <w:szCs w:val="24"/>
        </w:rPr>
        <w:t xml:space="preserve">SEM of three independent experiments. </w:t>
      </w:r>
      <w:r w:rsidR="007278D0" w:rsidRPr="00E9053B">
        <w:rPr>
          <w:sz w:val="24"/>
          <w:szCs w:val="24"/>
        </w:rPr>
        <w:t>**</w:t>
      </w:r>
      <w:r w:rsidR="007278D0" w:rsidRPr="00E9053B">
        <w:rPr>
          <w:i/>
          <w:sz w:val="24"/>
          <w:szCs w:val="24"/>
        </w:rPr>
        <w:t>P</w:t>
      </w:r>
      <w:r w:rsidR="007278D0" w:rsidRPr="00E9053B">
        <w:rPr>
          <w:sz w:val="24"/>
          <w:szCs w:val="24"/>
        </w:rPr>
        <w:t>&lt;0.01, ***</w:t>
      </w:r>
      <w:r w:rsidR="007278D0" w:rsidRPr="00E9053B">
        <w:rPr>
          <w:i/>
          <w:sz w:val="24"/>
          <w:szCs w:val="24"/>
        </w:rPr>
        <w:t>P</w:t>
      </w:r>
      <w:r w:rsidR="007278D0" w:rsidRPr="00E9053B">
        <w:rPr>
          <w:sz w:val="24"/>
          <w:szCs w:val="24"/>
        </w:rPr>
        <w:t>&lt;0.001.</w:t>
      </w:r>
    </w:p>
    <w:p w:rsidR="00462A54" w:rsidRDefault="00462A54" w:rsidP="00CC3D39">
      <w:pPr>
        <w:widowControl/>
        <w:jc w:val="left"/>
        <w:rPr>
          <w:sz w:val="24"/>
          <w:szCs w:val="24"/>
        </w:rPr>
      </w:pPr>
      <w:r>
        <w:rPr>
          <w:sz w:val="24"/>
          <w:szCs w:val="24"/>
        </w:rPr>
        <w:br w:type="page"/>
      </w:r>
    </w:p>
    <w:p w:rsidR="00462A54" w:rsidRDefault="00462A54" w:rsidP="00CC3D39">
      <w:pPr>
        <w:widowControl/>
        <w:jc w:val="left"/>
        <w:rPr>
          <w:sz w:val="24"/>
          <w:szCs w:val="24"/>
        </w:rPr>
      </w:pPr>
      <w:r>
        <w:rPr>
          <w:noProof/>
          <w:sz w:val="24"/>
          <w:szCs w:val="24"/>
        </w:rPr>
        <w:lastRenderedPageBreak/>
        <w:drawing>
          <wp:inline distT="0" distB="0" distL="0" distR="0">
            <wp:extent cx="1600200" cy="1914144"/>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upplementary Figure 6.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00200" cy="1914144"/>
                    </a:xfrm>
                    <a:prstGeom prst="rect">
                      <a:avLst/>
                    </a:prstGeom>
                  </pic:spPr>
                </pic:pic>
              </a:graphicData>
            </a:graphic>
          </wp:inline>
        </w:drawing>
      </w:r>
    </w:p>
    <w:p w:rsidR="00462A54" w:rsidRDefault="00462A54" w:rsidP="000B2BE2">
      <w:pPr>
        <w:widowControl/>
        <w:rPr>
          <w:sz w:val="24"/>
          <w:szCs w:val="24"/>
        </w:rPr>
      </w:pPr>
      <w:r w:rsidRPr="00E9053B">
        <w:rPr>
          <w:b/>
          <w:sz w:val="24"/>
          <w:szCs w:val="24"/>
        </w:rPr>
        <w:t xml:space="preserve">Fig. </w:t>
      </w:r>
      <w:r w:rsidRPr="00E9053B">
        <w:rPr>
          <w:rFonts w:hint="eastAsia"/>
          <w:b/>
          <w:sz w:val="24"/>
          <w:szCs w:val="24"/>
        </w:rPr>
        <w:t>S</w:t>
      </w:r>
      <w:r>
        <w:rPr>
          <w:b/>
          <w:sz w:val="24"/>
          <w:szCs w:val="24"/>
        </w:rPr>
        <w:t xml:space="preserve">6 </w:t>
      </w:r>
      <w:r w:rsidR="000B2BE2" w:rsidRPr="000B2BE2">
        <w:rPr>
          <w:sz w:val="24"/>
          <w:szCs w:val="24"/>
        </w:rPr>
        <w:t xml:space="preserve">SBF-1 induces autophagy dependent on HIBCH. </w:t>
      </w:r>
      <w:r w:rsidRPr="00E9053B">
        <w:rPr>
          <w:sz w:val="24"/>
          <w:szCs w:val="24"/>
        </w:rPr>
        <w:t xml:space="preserve">HCT116 cells </w:t>
      </w:r>
      <w:r w:rsidRPr="00E9053B">
        <w:rPr>
          <w:rFonts w:hint="eastAsia"/>
          <w:sz w:val="24"/>
          <w:szCs w:val="24"/>
        </w:rPr>
        <w:t xml:space="preserve">were overexpressed with </w:t>
      </w:r>
      <w:r w:rsidRPr="00E9053B">
        <w:rPr>
          <w:sz w:val="24"/>
          <w:szCs w:val="24"/>
        </w:rPr>
        <w:t>HIBCH</w:t>
      </w:r>
      <w:r w:rsidRPr="00E9053B">
        <w:rPr>
          <w:rFonts w:hint="eastAsia"/>
          <w:sz w:val="24"/>
          <w:szCs w:val="24"/>
        </w:rPr>
        <w:t xml:space="preserve"> </w:t>
      </w:r>
      <w:bookmarkStart w:id="2" w:name="_GoBack"/>
      <w:bookmarkEnd w:id="2"/>
      <w:r w:rsidRPr="00E9053B">
        <w:rPr>
          <w:rFonts w:hint="eastAsia"/>
          <w:sz w:val="24"/>
          <w:szCs w:val="24"/>
        </w:rPr>
        <w:t xml:space="preserve">for 24 h. Then cells were incubated with </w:t>
      </w:r>
      <w:r w:rsidRPr="00E9053B">
        <w:rPr>
          <w:sz w:val="24"/>
          <w:szCs w:val="24"/>
        </w:rPr>
        <w:t>SBF-1 (1000</w:t>
      </w:r>
      <w:r w:rsidRPr="00E9053B">
        <w:rPr>
          <w:rFonts w:hint="eastAsia"/>
          <w:sz w:val="24"/>
          <w:szCs w:val="24"/>
        </w:rPr>
        <w:t xml:space="preserve"> </w:t>
      </w:r>
      <w:r w:rsidRPr="00E9053B">
        <w:rPr>
          <w:sz w:val="24"/>
          <w:szCs w:val="24"/>
        </w:rPr>
        <w:t>nM) for 24</w:t>
      </w:r>
      <w:r w:rsidRPr="00E9053B">
        <w:rPr>
          <w:rFonts w:hint="eastAsia"/>
          <w:sz w:val="24"/>
          <w:szCs w:val="24"/>
        </w:rPr>
        <w:t xml:space="preserve"> </w:t>
      </w:r>
      <w:r w:rsidRPr="00E9053B">
        <w:rPr>
          <w:sz w:val="24"/>
          <w:szCs w:val="24"/>
        </w:rPr>
        <w:t>h</w:t>
      </w:r>
      <w:r w:rsidRPr="00E9053B">
        <w:rPr>
          <w:rFonts w:hint="eastAsia"/>
          <w:sz w:val="24"/>
          <w:szCs w:val="24"/>
        </w:rPr>
        <w:t>.</w:t>
      </w:r>
      <w:r w:rsidRPr="00E9053B">
        <w:rPr>
          <w:sz w:val="24"/>
          <w:szCs w:val="24"/>
        </w:rPr>
        <w:t xml:space="preserve"> </w:t>
      </w:r>
      <w:r w:rsidRPr="00E9053B">
        <w:rPr>
          <w:rFonts w:hint="eastAsia"/>
          <w:sz w:val="24"/>
          <w:szCs w:val="24"/>
        </w:rPr>
        <w:t xml:space="preserve">The protein levels were determined by </w:t>
      </w:r>
      <w:r w:rsidRPr="00E9053B">
        <w:rPr>
          <w:sz w:val="24"/>
          <w:szCs w:val="24"/>
        </w:rPr>
        <w:t>Western blot</w:t>
      </w:r>
      <w:r w:rsidRPr="00E9053B">
        <w:rPr>
          <w:rFonts w:hint="eastAsia"/>
          <w:sz w:val="24"/>
          <w:szCs w:val="24"/>
        </w:rPr>
        <w:t>ting.</w:t>
      </w:r>
    </w:p>
    <w:p w:rsidR="00462A54" w:rsidRDefault="00462A54" w:rsidP="00CC3D39">
      <w:pPr>
        <w:widowControl/>
        <w:jc w:val="left"/>
        <w:rPr>
          <w:sz w:val="24"/>
          <w:szCs w:val="24"/>
        </w:rPr>
      </w:pPr>
      <w:r>
        <w:rPr>
          <w:sz w:val="24"/>
          <w:szCs w:val="24"/>
        </w:rPr>
        <w:br w:type="page"/>
      </w:r>
    </w:p>
    <w:p w:rsidR="001B4A58" w:rsidRPr="00E9053B" w:rsidRDefault="001B4A58" w:rsidP="00CC3D39">
      <w:pPr>
        <w:widowControl/>
        <w:jc w:val="left"/>
        <w:rPr>
          <w:sz w:val="24"/>
          <w:szCs w:val="24"/>
        </w:rPr>
      </w:pPr>
      <w:r w:rsidRPr="00E9053B">
        <w:rPr>
          <w:noProof/>
          <w:sz w:val="24"/>
          <w:szCs w:val="24"/>
        </w:rPr>
        <w:lastRenderedPageBreak/>
        <w:drawing>
          <wp:inline distT="0" distB="0" distL="0" distR="0" wp14:anchorId="63919F3D" wp14:editId="6496C3FF">
            <wp:extent cx="5274310" cy="2444750"/>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upplementary Figure 2.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310" cy="2444750"/>
                    </a:xfrm>
                    <a:prstGeom prst="rect">
                      <a:avLst/>
                    </a:prstGeom>
                  </pic:spPr>
                </pic:pic>
              </a:graphicData>
            </a:graphic>
          </wp:inline>
        </w:drawing>
      </w:r>
    </w:p>
    <w:p w:rsidR="007278D0" w:rsidRPr="00E9053B" w:rsidRDefault="001B4A58" w:rsidP="00CC3D39">
      <w:pPr>
        <w:widowControl/>
        <w:rPr>
          <w:sz w:val="24"/>
          <w:szCs w:val="24"/>
        </w:rPr>
      </w:pPr>
      <w:r w:rsidRPr="00E9053B">
        <w:rPr>
          <w:b/>
          <w:sz w:val="24"/>
          <w:szCs w:val="24"/>
        </w:rPr>
        <w:t>Fig</w:t>
      </w:r>
      <w:r w:rsidRPr="00E9053B">
        <w:rPr>
          <w:rFonts w:hint="eastAsia"/>
          <w:b/>
          <w:sz w:val="24"/>
          <w:szCs w:val="24"/>
        </w:rPr>
        <w:t>.</w:t>
      </w:r>
      <w:r w:rsidR="00A16505" w:rsidRPr="00E9053B">
        <w:rPr>
          <w:b/>
          <w:sz w:val="24"/>
          <w:szCs w:val="24"/>
        </w:rPr>
        <w:t xml:space="preserve"> </w:t>
      </w:r>
      <w:r w:rsidRPr="00E9053B">
        <w:rPr>
          <w:b/>
          <w:sz w:val="24"/>
          <w:szCs w:val="24"/>
        </w:rPr>
        <w:t>S</w:t>
      </w:r>
      <w:r w:rsidR="00462A54">
        <w:rPr>
          <w:b/>
          <w:sz w:val="24"/>
          <w:szCs w:val="24"/>
        </w:rPr>
        <w:t>7</w:t>
      </w:r>
      <w:r w:rsidRPr="00E9053B">
        <w:rPr>
          <w:sz w:val="24"/>
          <w:szCs w:val="24"/>
        </w:rPr>
        <w:t xml:space="preserve"> SBF-1 strongly inhibits the growth of human CRC xenografts in mice. (a) Growth of individual tumors from HT-29 xenograft tumors. (b) Relative body weights of mice bearing HT-29 subcutaneous xenograft tumors. n=5. (c) Relative body weights of mice bearing HCT116 subcutaneous xenograft tumors. n=5. (d) HCT116 cells were seeded in 96-well plates after transfection and incubated with various concentrations of Bevacizumab for 72 h. The inhibitory rate of Bevacizumab on the cell proliferation was determined by MTT assay. n=3. Error bars represent ± SEM.</w:t>
      </w:r>
    </w:p>
    <w:sectPr w:rsidR="007278D0" w:rsidRPr="00E9053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5FBB" w:rsidRDefault="00395FBB" w:rsidP="00F73528">
      <w:r>
        <w:separator/>
      </w:r>
    </w:p>
  </w:endnote>
  <w:endnote w:type="continuationSeparator" w:id="0">
    <w:p w:rsidR="00395FBB" w:rsidRDefault="00395FBB" w:rsidP="00F735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5FBB" w:rsidRDefault="00395FBB" w:rsidP="00F73528">
      <w:r>
        <w:separator/>
      </w:r>
    </w:p>
  </w:footnote>
  <w:footnote w:type="continuationSeparator" w:id="0">
    <w:p w:rsidR="00395FBB" w:rsidRDefault="00395FBB" w:rsidP="00F7352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KY_MEDREF_DOCUID" w:val="{CEB0BD06-8E17-4D5A-B363-E0A54EB304AA}"/>
    <w:docVar w:name="KY_MEDREF_VERSION" w:val="3"/>
  </w:docVars>
  <w:rsids>
    <w:rsidRoot w:val="007278D0"/>
    <w:rsid w:val="00002ED8"/>
    <w:rsid w:val="00060186"/>
    <w:rsid w:val="00076E5B"/>
    <w:rsid w:val="000A23A2"/>
    <w:rsid w:val="000B2BE2"/>
    <w:rsid w:val="000F2D16"/>
    <w:rsid w:val="00106D1C"/>
    <w:rsid w:val="00137BD3"/>
    <w:rsid w:val="00162454"/>
    <w:rsid w:val="00176C19"/>
    <w:rsid w:val="00184704"/>
    <w:rsid w:val="001A3874"/>
    <w:rsid w:val="001B0819"/>
    <w:rsid w:val="001B4A58"/>
    <w:rsid w:val="001D5294"/>
    <w:rsid w:val="002B74A9"/>
    <w:rsid w:val="002E5C0C"/>
    <w:rsid w:val="00360DCD"/>
    <w:rsid w:val="0037774C"/>
    <w:rsid w:val="00384CD5"/>
    <w:rsid w:val="00395FBB"/>
    <w:rsid w:val="004067E0"/>
    <w:rsid w:val="004328CB"/>
    <w:rsid w:val="00457B04"/>
    <w:rsid w:val="00462A54"/>
    <w:rsid w:val="004A16F3"/>
    <w:rsid w:val="004E59DF"/>
    <w:rsid w:val="004F43FB"/>
    <w:rsid w:val="005062DA"/>
    <w:rsid w:val="005126A4"/>
    <w:rsid w:val="005475D3"/>
    <w:rsid w:val="00564B2A"/>
    <w:rsid w:val="0058363E"/>
    <w:rsid w:val="005C1A2F"/>
    <w:rsid w:val="005C6BD4"/>
    <w:rsid w:val="005D399A"/>
    <w:rsid w:val="005D6C87"/>
    <w:rsid w:val="005D6DA2"/>
    <w:rsid w:val="005E2332"/>
    <w:rsid w:val="005F7FF5"/>
    <w:rsid w:val="006E4F45"/>
    <w:rsid w:val="006F73DD"/>
    <w:rsid w:val="007278D0"/>
    <w:rsid w:val="00740E6D"/>
    <w:rsid w:val="00742A53"/>
    <w:rsid w:val="0075683C"/>
    <w:rsid w:val="00774C3C"/>
    <w:rsid w:val="007F0D30"/>
    <w:rsid w:val="007F2F90"/>
    <w:rsid w:val="00812C5F"/>
    <w:rsid w:val="00867943"/>
    <w:rsid w:val="00874908"/>
    <w:rsid w:val="008B7F5D"/>
    <w:rsid w:val="008C0849"/>
    <w:rsid w:val="008E6DFB"/>
    <w:rsid w:val="00955B4B"/>
    <w:rsid w:val="00985A4F"/>
    <w:rsid w:val="00994220"/>
    <w:rsid w:val="009A041E"/>
    <w:rsid w:val="009B7733"/>
    <w:rsid w:val="00A061DB"/>
    <w:rsid w:val="00A16505"/>
    <w:rsid w:val="00A33812"/>
    <w:rsid w:val="00A909D9"/>
    <w:rsid w:val="00A96991"/>
    <w:rsid w:val="00AA0887"/>
    <w:rsid w:val="00AC1C1E"/>
    <w:rsid w:val="00B36202"/>
    <w:rsid w:val="00B658E8"/>
    <w:rsid w:val="00B751C6"/>
    <w:rsid w:val="00B964F2"/>
    <w:rsid w:val="00BF202E"/>
    <w:rsid w:val="00C04478"/>
    <w:rsid w:val="00C14ADB"/>
    <w:rsid w:val="00C2132B"/>
    <w:rsid w:val="00C34029"/>
    <w:rsid w:val="00C52551"/>
    <w:rsid w:val="00CC3D39"/>
    <w:rsid w:val="00CF41B5"/>
    <w:rsid w:val="00D12D8D"/>
    <w:rsid w:val="00D143C3"/>
    <w:rsid w:val="00D22577"/>
    <w:rsid w:val="00D41DDA"/>
    <w:rsid w:val="00D6339F"/>
    <w:rsid w:val="00D816AE"/>
    <w:rsid w:val="00DA310D"/>
    <w:rsid w:val="00DB2DC8"/>
    <w:rsid w:val="00E56637"/>
    <w:rsid w:val="00E9053B"/>
    <w:rsid w:val="00E93E96"/>
    <w:rsid w:val="00EB0199"/>
    <w:rsid w:val="00EB057D"/>
    <w:rsid w:val="00F15B22"/>
    <w:rsid w:val="00F20C49"/>
    <w:rsid w:val="00F277AD"/>
    <w:rsid w:val="00F348A0"/>
    <w:rsid w:val="00F73528"/>
    <w:rsid w:val="00FD7EF7"/>
    <w:rsid w:val="00FE5C2D"/>
    <w:rsid w:val="00FF17D0"/>
    <w:rsid w:val="00FF52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F197BF"/>
  <w15:docId w15:val="{5F418847-CE66-4F06-B4CD-BEB1920C7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4B2A"/>
    <w:pPr>
      <w:widowControl w:val="0"/>
      <w:spacing w:line="480" w:lineRule="auto"/>
      <w:jc w:val="both"/>
    </w:pPr>
    <w:rPr>
      <w:rFonts w:ascii="Times New Roman" w:hAnsi="Times New Roman"/>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278D0"/>
    <w:rPr>
      <w:sz w:val="18"/>
      <w:szCs w:val="18"/>
    </w:rPr>
  </w:style>
  <w:style w:type="character" w:customStyle="1" w:styleId="a4">
    <w:name w:val="批注框文本 字符"/>
    <w:basedOn w:val="a0"/>
    <w:link w:val="a3"/>
    <w:uiPriority w:val="99"/>
    <w:semiHidden/>
    <w:rsid w:val="007278D0"/>
    <w:rPr>
      <w:sz w:val="18"/>
      <w:szCs w:val="18"/>
    </w:rPr>
  </w:style>
  <w:style w:type="paragraph" w:styleId="a5">
    <w:name w:val="header"/>
    <w:basedOn w:val="a"/>
    <w:link w:val="a6"/>
    <w:uiPriority w:val="99"/>
    <w:unhideWhenUsed/>
    <w:rsid w:val="00F73528"/>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F73528"/>
    <w:rPr>
      <w:sz w:val="18"/>
      <w:szCs w:val="18"/>
    </w:rPr>
  </w:style>
  <w:style w:type="paragraph" w:styleId="a7">
    <w:name w:val="footer"/>
    <w:basedOn w:val="a"/>
    <w:link w:val="a8"/>
    <w:uiPriority w:val="99"/>
    <w:unhideWhenUsed/>
    <w:rsid w:val="00F73528"/>
    <w:pPr>
      <w:tabs>
        <w:tab w:val="center" w:pos="4153"/>
        <w:tab w:val="right" w:pos="8306"/>
      </w:tabs>
      <w:snapToGrid w:val="0"/>
      <w:jc w:val="left"/>
    </w:pPr>
    <w:rPr>
      <w:sz w:val="18"/>
      <w:szCs w:val="18"/>
    </w:rPr>
  </w:style>
  <w:style w:type="character" w:customStyle="1" w:styleId="a8">
    <w:name w:val="页脚 字符"/>
    <w:basedOn w:val="a0"/>
    <w:link w:val="a7"/>
    <w:uiPriority w:val="99"/>
    <w:rsid w:val="00F7352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image" Target="media/image7.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Relationship Id="rId11" Type="http://schemas.openxmlformats.org/officeDocument/2006/relationships/image" Target="media/image6.tiff"/><Relationship Id="rId5" Type="http://schemas.openxmlformats.org/officeDocument/2006/relationships/endnotes" Target="endnotes.xml"/><Relationship Id="rId10" Type="http://schemas.openxmlformats.org/officeDocument/2006/relationships/image" Target="media/image5.tiff"/><Relationship Id="rId4" Type="http://schemas.openxmlformats.org/officeDocument/2006/relationships/footnotes" Target="footnotes.xml"/><Relationship Id="rId9" Type="http://schemas.openxmlformats.org/officeDocument/2006/relationships/image" Target="media/image4.tif"/><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146</TotalTime>
  <Pages>12</Pages>
  <Words>1327</Words>
  <Characters>7568</Characters>
  <Application>Microsoft Office Word</Application>
  <DocSecurity>0</DocSecurity>
  <Lines>63</Lines>
  <Paragraphs>17</Paragraphs>
  <ScaleCrop>false</ScaleCrop>
  <Company/>
  <LinksUpToDate>false</LinksUpToDate>
  <CharactersWithSpaces>8878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Luo</dc:creator>
  <cp:lastModifiedBy>Henry</cp:lastModifiedBy>
  <cp:revision>13</cp:revision>
  <dcterms:created xsi:type="dcterms:W3CDTF">2019-06-26T08:45:00Z</dcterms:created>
  <dcterms:modified xsi:type="dcterms:W3CDTF">2019-06-29T15:51:00Z</dcterms:modified>
</cp:coreProperties>
</file>