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867" w:rsidRDefault="003A1867" w:rsidP="003A1867">
      <w:pPr>
        <w:spacing w:line="360" w:lineRule="auto"/>
        <w:rPr>
          <w:rFonts w:ascii="Times New Roman" w:hAnsi="Times New Roman" w:cs="Times New Roman"/>
          <w:szCs w:val="21"/>
        </w:rPr>
      </w:pPr>
      <w:proofErr w:type="gramStart"/>
      <w:r w:rsidRPr="0093298F">
        <w:rPr>
          <w:rFonts w:ascii="Times New Roman" w:hAnsi="Times New Roman" w:cs="Times New Roman" w:hint="eastAsia"/>
          <w:b/>
          <w:szCs w:val="21"/>
        </w:rPr>
        <w:t>Fig.</w:t>
      </w:r>
      <w:proofErr w:type="gramEnd"/>
      <w:r w:rsidRPr="0093298F">
        <w:rPr>
          <w:rFonts w:ascii="Times New Roman" w:hAnsi="Times New Roman" w:cs="Times New Roman" w:hint="eastAsia"/>
          <w:b/>
          <w:szCs w:val="21"/>
        </w:rPr>
        <w:t xml:space="preserve"> S1 Effect of </w:t>
      </w:r>
      <w:r w:rsidRPr="0093298F">
        <w:rPr>
          <w:rFonts w:ascii="Times New Roman" w:hAnsi="Times New Roman" w:cs="Times New Roman"/>
          <w:b/>
          <w:szCs w:val="21"/>
        </w:rPr>
        <w:t xml:space="preserve">the </w:t>
      </w:r>
      <w:proofErr w:type="spellStart"/>
      <w:r w:rsidRPr="0093298F">
        <w:rPr>
          <w:rFonts w:ascii="Times New Roman" w:hAnsi="Times New Roman" w:cs="Times New Roman"/>
          <w:b/>
          <w:szCs w:val="21"/>
        </w:rPr>
        <w:t>pyroptosis</w:t>
      </w:r>
      <w:proofErr w:type="spellEnd"/>
      <w:r w:rsidRPr="0093298F">
        <w:rPr>
          <w:rFonts w:ascii="Times New Roman" w:hAnsi="Times New Roman" w:cs="Times New Roman"/>
          <w:b/>
          <w:szCs w:val="21"/>
        </w:rPr>
        <w:t xml:space="preserve"> inhibitor</w:t>
      </w:r>
      <w:r w:rsidRPr="0093298F">
        <w:rPr>
          <w:rFonts w:ascii="Times New Roman" w:hAnsi="Times New Roman" w:cs="Times New Roman" w:hint="eastAsia"/>
          <w:b/>
          <w:szCs w:val="21"/>
        </w:rPr>
        <w:t>,</w:t>
      </w:r>
      <w:r w:rsidRPr="0093298F">
        <w:rPr>
          <w:rFonts w:ascii="Times New Roman" w:hAnsi="Times New Roman" w:cs="Times New Roman"/>
          <w:b/>
          <w:szCs w:val="21"/>
        </w:rPr>
        <w:t xml:space="preserve"> </w:t>
      </w:r>
      <w:proofErr w:type="spellStart"/>
      <w:r w:rsidRPr="0093298F">
        <w:rPr>
          <w:rFonts w:ascii="Times New Roman" w:hAnsi="Times New Roman" w:cs="Times New Roman"/>
          <w:b/>
          <w:szCs w:val="21"/>
        </w:rPr>
        <w:t>necrosulfonamide</w:t>
      </w:r>
      <w:proofErr w:type="spellEnd"/>
      <w:r w:rsidRPr="0093298F">
        <w:rPr>
          <w:rFonts w:ascii="Times New Roman" w:hAnsi="Times New Roman" w:cs="Times New Roman" w:hint="eastAsia"/>
          <w:b/>
          <w:szCs w:val="21"/>
        </w:rPr>
        <w:t xml:space="preserve"> (NSA), on LDH release (a), viability (b), survival (c), and the percentage of PI-positive cells (d) in KD</w:t>
      </w:r>
      <w:r w:rsidRPr="0093298F">
        <w:rPr>
          <w:rFonts w:ascii="Times New Roman" w:hAnsi="Times New Roman" w:cs="Times New Roman"/>
          <w:b/>
          <w:szCs w:val="21"/>
        </w:rPr>
        <w:t>-treated ECs</w:t>
      </w:r>
      <w:r w:rsidRPr="0093298F">
        <w:rPr>
          <w:rFonts w:ascii="Times New Roman" w:hAnsi="Times New Roman" w:cs="Times New Roman" w:hint="eastAsia"/>
          <w:b/>
          <w:szCs w:val="21"/>
        </w:rPr>
        <w:t>.</w:t>
      </w:r>
      <w:r w:rsidRPr="00472B74">
        <w:rPr>
          <w:rFonts w:ascii="Times New Roman" w:hAnsi="Times New Roman" w:cs="Times New Roman" w:hint="eastAsia"/>
          <w:szCs w:val="21"/>
        </w:rPr>
        <w:t xml:space="preserve">* </w:t>
      </w:r>
      <w:r w:rsidRPr="0093298F">
        <w:rPr>
          <w:rFonts w:ascii="Times New Roman" w:hAnsi="Times New Roman" w:cs="Times New Roman" w:hint="eastAsia"/>
          <w:i/>
          <w:szCs w:val="21"/>
        </w:rPr>
        <w:t>P</w:t>
      </w:r>
      <w:r w:rsidRPr="00472B74">
        <w:rPr>
          <w:rFonts w:ascii="Times New Roman" w:hAnsi="Times New Roman" w:cs="Times New Roman" w:hint="eastAsia"/>
          <w:szCs w:val="21"/>
        </w:rPr>
        <w:t xml:space="preserve">&lt;0.05, and ** </w:t>
      </w:r>
      <w:r w:rsidRPr="0093298F">
        <w:rPr>
          <w:rFonts w:ascii="Times New Roman" w:hAnsi="Times New Roman" w:cs="Times New Roman" w:hint="eastAsia"/>
          <w:i/>
          <w:szCs w:val="21"/>
        </w:rPr>
        <w:t>P</w:t>
      </w:r>
      <w:r w:rsidRPr="00472B74">
        <w:rPr>
          <w:rFonts w:ascii="Times New Roman" w:hAnsi="Times New Roman" w:cs="Times New Roman" w:hint="eastAsia"/>
          <w:szCs w:val="21"/>
        </w:rPr>
        <w:t>&lt;0.01 indicated significant difference between KD- and HC-treated ECs, or KD</w:t>
      </w:r>
      <w:r w:rsidRPr="00472B74">
        <w:rPr>
          <w:rFonts w:ascii="Times New Roman" w:hAnsi="Times New Roman" w:cs="Times New Roman"/>
          <w:szCs w:val="21"/>
        </w:rPr>
        <w:t>-treated ECs</w:t>
      </w:r>
      <w:r w:rsidRPr="00472B74">
        <w:rPr>
          <w:rFonts w:ascii="Times New Roman" w:hAnsi="Times New Roman" w:cs="Times New Roman" w:hint="eastAsia"/>
          <w:szCs w:val="21"/>
        </w:rPr>
        <w:t xml:space="preserve"> with and without NSA addition. </w:t>
      </w:r>
    </w:p>
    <w:p w:rsidR="003A1867" w:rsidRDefault="003A1867" w:rsidP="003A1867">
      <w:pPr>
        <w:spacing w:line="360" w:lineRule="auto"/>
        <w:rPr>
          <w:rFonts w:ascii="Times New Roman" w:hAnsi="Times New Roman" w:cs="Times New Roman"/>
          <w:szCs w:val="21"/>
        </w:rPr>
      </w:pPr>
      <w:proofErr w:type="gramStart"/>
      <w:r w:rsidRPr="0093298F">
        <w:rPr>
          <w:rFonts w:ascii="Times New Roman" w:hAnsi="Times New Roman" w:cs="Times New Roman"/>
          <w:b/>
          <w:szCs w:val="21"/>
        </w:rPr>
        <w:t>Fig.</w:t>
      </w:r>
      <w:proofErr w:type="gramEnd"/>
      <w:r w:rsidRPr="0093298F">
        <w:rPr>
          <w:rFonts w:ascii="Times New Roman" w:hAnsi="Times New Roman" w:cs="Times New Roman"/>
          <w:b/>
          <w:szCs w:val="21"/>
        </w:rPr>
        <w:t xml:space="preserve"> S2 Effect of the GSDMD-derived inhibitor, </w:t>
      </w:r>
      <w:r w:rsidRPr="0093298F">
        <w:rPr>
          <w:rFonts w:ascii="Times New Roman" w:hAnsi="Times New Roman" w:cs="Times New Roman"/>
          <w:b/>
          <w:i/>
          <w:szCs w:val="21"/>
        </w:rPr>
        <w:t>N</w:t>
      </w:r>
      <w:r w:rsidRPr="0093298F">
        <w:rPr>
          <w:rFonts w:ascii="Times New Roman" w:hAnsi="Times New Roman" w:cs="Times New Roman"/>
          <w:b/>
          <w:szCs w:val="21"/>
        </w:rPr>
        <w:t>-acetyl-</w:t>
      </w:r>
      <w:proofErr w:type="spellStart"/>
      <w:r w:rsidRPr="0093298F">
        <w:rPr>
          <w:rFonts w:ascii="Times New Roman" w:hAnsi="Times New Roman" w:cs="Times New Roman"/>
          <w:b/>
          <w:szCs w:val="21"/>
        </w:rPr>
        <w:t>Phe</w:t>
      </w:r>
      <w:proofErr w:type="spellEnd"/>
      <w:r w:rsidRPr="0093298F">
        <w:rPr>
          <w:rFonts w:ascii="Times New Roman" w:hAnsi="Times New Roman" w:cs="Times New Roman"/>
          <w:b/>
          <w:szCs w:val="21"/>
        </w:rPr>
        <w:t>-</w:t>
      </w:r>
      <w:proofErr w:type="spellStart"/>
      <w:r w:rsidRPr="0093298F">
        <w:rPr>
          <w:rFonts w:ascii="Times New Roman" w:hAnsi="Times New Roman" w:cs="Times New Roman"/>
          <w:b/>
          <w:szCs w:val="21"/>
        </w:rPr>
        <w:t>Leu</w:t>
      </w:r>
      <w:proofErr w:type="spellEnd"/>
      <w:r w:rsidRPr="0093298F">
        <w:rPr>
          <w:rFonts w:ascii="Times New Roman" w:hAnsi="Times New Roman" w:cs="Times New Roman"/>
          <w:b/>
          <w:szCs w:val="21"/>
        </w:rPr>
        <w:t>-</w:t>
      </w:r>
      <w:proofErr w:type="spellStart"/>
      <w:r w:rsidRPr="0093298F">
        <w:rPr>
          <w:rFonts w:ascii="Times New Roman" w:hAnsi="Times New Roman" w:cs="Times New Roman"/>
          <w:b/>
          <w:szCs w:val="21"/>
        </w:rPr>
        <w:t>Thr</w:t>
      </w:r>
      <w:proofErr w:type="spellEnd"/>
      <w:r w:rsidRPr="0093298F">
        <w:rPr>
          <w:rFonts w:ascii="Times New Roman" w:hAnsi="Times New Roman" w:cs="Times New Roman"/>
          <w:b/>
          <w:szCs w:val="21"/>
        </w:rPr>
        <w:t xml:space="preserve">-Asp- </w:t>
      </w:r>
      <w:proofErr w:type="spellStart"/>
      <w:r w:rsidRPr="0093298F">
        <w:rPr>
          <w:rFonts w:ascii="Times New Roman" w:hAnsi="Times New Roman" w:cs="Times New Roman"/>
          <w:b/>
          <w:szCs w:val="21"/>
        </w:rPr>
        <w:t>chloromethylketone</w:t>
      </w:r>
      <w:proofErr w:type="spellEnd"/>
      <w:r w:rsidRPr="0093298F">
        <w:rPr>
          <w:rFonts w:ascii="Times New Roman" w:hAnsi="Times New Roman" w:cs="Times New Roman"/>
          <w:b/>
          <w:szCs w:val="21"/>
        </w:rPr>
        <w:t xml:space="preserve"> (Ac-FLTD-CMK), on LDH release (a), viability (b), survival (c), the percentage of PI-positive cells (d), and IL-1β release (e) in KD-treated ECs.</w:t>
      </w:r>
      <w:r w:rsidRPr="0093298F">
        <w:rPr>
          <w:rFonts w:ascii="Times New Roman" w:hAnsi="Times New Roman" w:cs="Times New Roman"/>
          <w:szCs w:val="21"/>
        </w:rPr>
        <w:t xml:space="preserve"> * </w:t>
      </w:r>
      <w:r w:rsidRPr="0093298F">
        <w:rPr>
          <w:rFonts w:ascii="Times New Roman" w:hAnsi="Times New Roman" w:cs="Times New Roman"/>
          <w:i/>
          <w:szCs w:val="21"/>
        </w:rPr>
        <w:t>P</w:t>
      </w:r>
      <w:r w:rsidRPr="0093298F">
        <w:rPr>
          <w:rFonts w:ascii="Times New Roman" w:hAnsi="Times New Roman" w:cs="Times New Roman"/>
          <w:szCs w:val="21"/>
        </w:rPr>
        <w:t xml:space="preserve">&lt;0.05, ** </w:t>
      </w:r>
      <w:r w:rsidRPr="0093298F">
        <w:rPr>
          <w:rFonts w:ascii="Times New Roman" w:hAnsi="Times New Roman" w:cs="Times New Roman"/>
          <w:i/>
          <w:szCs w:val="21"/>
        </w:rPr>
        <w:t>P</w:t>
      </w:r>
      <w:r w:rsidRPr="0093298F">
        <w:rPr>
          <w:rFonts w:ascii="Times New Roman" w:hAnsi="Times New Roman" w:cs="Times New Roman"/>
          <w:szCs w:val="21"/>
        </w:rPr>
        <w:t xml:space="preserve">&lt;0.01 indicated significant difference between KD- and HC-treated ECs, or KD-treated ECs with and without Ac-FLTD-CMK pretreatment. </w:t>
      </w:r>
    </w:p>
    <w:p w:rsidR="003A1867" w:rsidRDefault="003A1867" w:rsidP="003A1867">
      <w:pPr>
        <w:spacing w:line="360" w:lineRule="auto"/>
        <w:rPr>
          <w:rFonts w:ascii="Times New Roman" w:hAnsi="Times New Roman" w:cs="Times New Roman"/>
          <w:szCs w:val="21"/>
        </w:rPr>
      </w:pPr>
      <w:proofErr w:type="gramStart"/>
      <w:r w:rsidRPr="0093298F">
        <w:rPr>
          <w:rFonts w:ascii="Times New Roman" w:hAnsi="Times New Roman" w:cs="Times New Roman"/>
          <w:b/>
          <w:szCs w:val="21"/>
        </w:rPr>
        <w:t>Fig.</w:t>
      </w:r>
      <w:proofErr w:type="gramEnd"/>
      <w:r w:rsidRPr="0093298F">
        <w:rPr>
          <w:rFonts w:ascii="Times New Roman" w:hAnsi="Times New Roman" w:cs="Times New Roman"/>
          <w:b/>
          <w:szCs w:val="21"/>
        </w:rPr>
        <w:t xml:space="preserve"> S3 </w:t>
      </w:r>
      <w:proofErr w:type="spellStart"/>
      <w:r w:rsidRPr="0093298F">
        <w:rPr>
          <w:rFonts w:ascii="Times New Roman" w:hAnsi="Times New Roman" w:cs="Times New Roman"/>
          <w:b/>
          <w:szCs w:val="21"/>
        </w:rPr>
        <w:t>Pyroptosis</w:t>
      </w:r>
      <w:proofErr w:type="spellEnd"/>
      <w:r w:rsidRPr="0093298F">
        <w:rPr>
          <w:rFonts w:ascii="Times New Roman" w:hAnsi="Times New Roman" w:cs="Times New Roman"/>
          <w:b/>
          <w:szCs w:val="21"/>
        </w:rPr>
        <w:t>-related parameters were upregulated in human umbilical vein endothelial cells (HUVECs) after exposure to KD sera-treated PBMCs.</w:t>
      </w:r>
      <w:r w:rsidRPr="006D72D8">
        <w:rPr>
          <w:rFonts w:ascii="Times New Roman" w:hAnsi="Times New Roman" w:cs="Times New Roman"/>
          <w:szCs w:val="21"/>
        </w:rPr>
        <w:t xml:space="preserve"> </w:t>
      </w:r>
      <w:r w:rsidRPr="0093298F">
        <w:rPr>
          <w:rFonts w:ascii="Times New Roman" w:hAnsi="Times New Roman" w:cs="Times New Roman"/>
          <w:b/>
          <w:szCs w:val="21"/>
        </w:rPr>
        <w:t>(a-b)</w:t>
      </w:r>
      <w:r w:rsidRPr="006D72D8">
        <w:rPr>
          <w:rFonts w:ascii="Times New Roman" w:hAnsi="Times New Roman" w:cs="Times New Roman"/>
          <w:szCs w:val="21"/>
        </w:rPr>
        <w:t xml:space="preserve"> Protein levels of caspase-1, GSDMD, cleaved p30 form of GSDMD, mature IL-1β and IL-18 were examined by western blot analysis. GAPDH was used as an internal control. Data were shown as mean ± SD (n=3). * P&lt;0.05. </w:t>
      </w:r>
      <w:r w:rsidRPr="0093298F">
        <w:rPr>
          <w:rFonts w:ascii="Times New Roman" w:hAnsi="Times New Roman" w:cs="Times New Roman"/>
          <w:b/>
          <w:szCs w:val="21"/>
        </w:rPr>
        <w:t>(</w:t>
      </w:r>
      <w:proofErr w:type="gramStart"/>
      <w:r w:rsidRPr="0093298F">
        <w:rPr>
          <w:rFonts w:ascii="Times New Roman" w:hAnsi="Times New Roman" w:cs="Times New Roman"/>
          <w:b/>
          <w:szCs w:val="21"/>
        </w:rPr>
        <w:t>c-d</w:t>
      </w:r>
      <w:proofErr w:type="gramEnd"/>
      <w:r w:rsidRPr="0093298F">
        <w:rPr>
          <w:rFonts w:ascii="Times New Roman" w:hAnsi="Times New Roman" w:cs="Times New Roman"/>
          <w:b/>
          <w:szCs w:val="21"/>
        </w:rPr>
        <w:t>)</w:t>
      </w:r>
      <w:r w:rsidRPr="006D72D8">
        <w:rPr>
          <w:rFonts w:ascii="Times New Roman" w:hAnsi="Times New Roman" w:cs="Times New Roman"/>
          <w:szCs w:val="21"/>
        </w:rPr>
        <w:t xml:space="preserve"> Caspase-1 fluorescence intensity and the percentage of TUNEL-positive cells were respectively evaluated using immunofluorescent assay and TUNEL staining. The nuclei were stained blue using DAPI. Magnification: ×200. Scale bar=100 </w:t>
      </w:r>
      <w:proofErr w:type="spellStart"/>
      <w:r w:rsidRPr="006D72D8">
        <w:rPr>
          <w:rFonts w:ascii="Times New Roman" w:hAnsi="Times New Roman" w:cs="Times New Roman"/>
          <w:szCs w:val="21"/>
        </w:rPr>
        <w:t>μm</w:t>
      </w:r>
      <w:proofErr w:type="spellEnd"/>
      <w:r w:rsidRPr="006D72D8">
        <w:rPr>
          <w:rFonts w:ascii="Times New Roman" w:hAnsi="Times New Roman" w:cs="Times New Roman"/>
          <w:szCs w:val="21"/>
        </w:rPr>
        <w:t>. **</w:t>
      </w:r>
      <w:r w:rsidRPr="0093298F">
        <w:rPr>
          <w:rFonts w:ascii="Times New Roman" w:hAnsi="Times New Roman" w:cs="Times New Roman"/>
          <w:i/>
          <w:szCs w:val="21"/>
        </w:rPr>
        <w:t>P</w:t>
      </w:r>
      <w:r w:rsidRPr="006D72D8">
        <w:rPr>
          <w:rFonts w:ascii="Times New Roman" w:hAnsi="Times New Roman" w:cs="Times New Roman"/>
          <w:szCs w:val="21"/>
        </w:rPr>
        <w:t xml:space="preserve"> &lt; 0.01.</w:t>
      </w:r>
    </w:p>
    <w:p w:rsidR="003A1867" w:rsidRDefault="003A1867" w:rsidP="003A1867">
      <w:pPr>
        <w:spacing w:line="360" w:lineRule="auto"/>
        <w:rPr>
          <w:rFonts w:ascii="Times New Roman" w:hAnsi="Times New Roman" w:cs="Times New Roman"/>
          <w:b/>
          <w:szCs w:val="21"/>
        </w:rPr>
      </w:pPr>
      <w:proofErr w:type="gramStart"/>
      <w:r w:rsidRPr="0093298F">
        <w:rPr>
          <w:rFonts w:ascii="Times New Roman" w:hAnsi="Times New Roman" w:cs="Times New Roman"/>
          <w:b/>
          <w:szCs w:val="21"/>
        </w:rPr>
        <w:t>Fig.</w:t>
      </w:r>
      <w:proofErr w:type="gramEnd"/>
      <w:r w:rsidRPr="0093298F">
        <w:rPr>
          <w:rFonts w:ascii="Times New Roman" w:hAnsi="Times New Roman" w:cs="Times New Roman"/>
          <w:b/>
          <w:szCs w:val="21"/>
        </w:rPr>
        <w:t xml:space="preserve"> S4 Effect of KD sera on EC viability (a), caspase-1 expression (b), DNA fragmentation (c), and cell membrane rupture (d).</w:t>
      </w:r>
    </w:p>
    <w:p w:rsidR="003A1867" w:rsidRDefault="003A1867" w:rsidP="003A1867">
      <w:pPr>
        <w:spacing w:line="360" w:lineRule="auto"/>
        <w:rPr>
          <w:rFonts w:ascii="Times New Roman" w:hAnsi="Times New Roman" w:cs="Times New Roman"/>
          <w:szCs w:val="21"/>
        </w:rPr>
      </w:pPr>
      <w:proofErr w:type="gramStart"/>
      <w:r w:rsidRPr="006D72D8">
        <w:rPr>
          <w:rFonts w:ascii="Times New Roman" w:hAnsi="Times New Roman" w:cs="Times New Roman"/>
          <w:b/>
          <w:szCs w:val="21"/>
        </w:rPr>
        <w:t>Fig.</w:t>
      </w:r>
      <w:proofErr w:type="gramEnd"/>
      <w:r w:rsidRPr="006D72D8">
        <w:rPr>
          <w:rFonts w:ascii="Times New Roman" w:hAnsi="Times New Roman" w:cs="Times New Roman"/>
          <w:b/>
          <w:szCs w:val="21"/>
        </w:rPr>
        <w:t xml:space="preserve"> S5 HMGB1 levels were determined in HC/KD sera-treated THP1 cells (a), and HC/KD sera (b). </w:t>
      </w:r>
      <w:r w:rsidRPr="0093298F">
        <w:rPr>
          <w:rFonts w:ascii="Times New Roman" w:hAnsi="Times New Roman" w:cs="Times New Roman"/>
          <w:szCs w:val="21"/>
        </w:rPr>
        <w:t>***</w:t>
      </w:r>
      <w:r w:rsidRPr="0093298F">
        <w:rPr>
          <w:rFonts w:ascii="Times New Roman" w:hAnsi="Times New Roman" w:cs="Times New Roman"/>
          <w:i/>
          <w:szCs w:val="21"/>
        </w:rPr>
        <w:t>P</w:t>
      </w:r>
      <w:r w:rsidRPr="0093298F">
        <w:rPr>
          <w:rFonts w:ascii="Times New Roman" w:hAnsi="Times New Roman" w:cs="Times New Roman"/>
          <w:szCs w:val="21"/>
        </w:rPr>
        <w:t>&lt;0.001 indicated significant difference between KD sera-treated and HC sera-treated THP1 cells, or between KD sera and HC sera.</w:t>
      </w:r>
    </w:p>
    <w:p w:rsidR="00C91D16" w:rsidRPr="00C91D16" w:rsidRDefault="00C91D16" w:rsidP="00C91D16">
      <w:pPr>
        <w:spacing w:line="360" w:lineRule="auto"/>
        <w:rPr>
          <w:rFonts w:ascii="Times New Roman" w:hAnsi="Times New Roman" w:cs="Times New Roman"/>
          <w:szCs w:val="21"/>
        </w:rPr>
      </w:pPr>
      <w:proofErr w:type="gramStart"/>
      <w:r w:rsidRPr="00C91D16">
        <w:rPr>
          <w:rFonts w:ascii="Times New Roman" w:hAnsi="Times New Roman" w:cs="Times New Roman" w:hint="eastAsia"/>
          <w:b/>
          <w:szCs w:val="21"/>
        </w:rPr>
        <w:t>Fig.</w:t>
      </w:r>
      <w:proofErr w:type="gramEnd"/>
      <w:r w:rsidRPr="00C91D16">
        <w:rPr>
          <w:rFonts w:ascii="Times New Roman" w:hAnsi="Times New Roman" w:cs="Times New Roman" w:hint="eastAsia"/>
          <w:b/>
          <w:szCs w:val="21"/>
        </w:rPr>
        <w:t xml:space="preserve"> S6 </w:t>
      </w:r>
      <w:proofErr w:type="gramStart"/>
      <w:r w:rsidRPr="00C91D16">
        <w:rPr>
          <w:rFonts w:ascii="Times New Roman" w:hAnsi="Times New Roman" w:cs="Times New Roman" w:hint="eastAsia"/>
          <w:b/>
          <w:szCs w:val="21"/>
        </w:rPr>
        <w:t>The</w:t>
      </w:r>
      <w:proofErr w:type="gramEnd"/>
      <w:r w:rsidRPr="00C91D16">
        <w:rPr>
          <w:rFonts w:ascii="Times New Roman" w:hAnsi="Times New Roman" w:cs="Times New Roman" w:hint="eastAsia"/>
          <w:b/>
          <w:szCs w:val="21"/>
        </w:rPr>
        <w:t xml:space="preserve"> </w:t>
      </w:r>
      <w:r w:rsidRPr="00C91D16">
        <w:rPr>
          <w:rFonts w:ascii="Times New Roman" w:hAnsi="Times New Roman" w:cs="Times New Roman"/>
          <w:b/>
          <w:szCs w:val="21"/>
        </w:rPr>
        <w:t xml:space="preserve">cellular localization of RAGE </w:t>
      </w:r>
      <w:r w:rsidRPr="00C91D16">
        <w:rPr>
          <w:rFonts w:ascii="Times New Roman" w:hAnsi="Times New Roman" w:cs="Times New Roman" w:hint="eastAsia"/>
          <w:b/>
          <w:szCs w:val="21"/>
        </w:rPr>
        <w:t>was examined in KD-treated ECs.</w:t>
      </w:r>
      <w:r w:rsidRPr="00C91D16">
        <w:rPr>
          <w:rFonts w:ascii="Times New Roman" w:hAnsi="Times New Roman" w:cs="Times New Roman" w:hint="eastAsia"/>
          <w:szCs w:val="21"/>
        </w:rPr>
        <w:t xml:space="preserve"> Red arrows </w:t>
      </w:r>
      <w:bookmarkStart w:id="0" w:name="_GoBack"/>
      <w:bookmarkEnd w:id="0"/>
      <w:r w:rsidRPr="00C91D16">
        <w:rPr>
          <w:rFonts w:ascii="Times New Roman" w:hAnsi="Times New Roman" w:cs="Times New Roman" w:hint="eastAsia"/>
          <w:szCs w:val="21"/>
        </w:rPr>
        <w:t xml:space="preserve">indicated the plasma membrane localization of RAGE, and the blue arrows pointed to the </w:t>
      </w:r>
      <w:r w:rsidRPr="00C91D16">
        <w:rPr>
          <w:rFonts w:ascii="Times New Roman" w:hAnsi="Times New Roman" w:cs="Times New Roman"/>
          <w:szCs w:val="21"/>
        </w:rPr>
        <w:t>cytoplasm</w:t>
      </w:r>
      <w:r w:rsidRPr="00C91D16">
        <w:rPr>
          <w:rFonts w:ascii="Times New Roman" w:hAnsi="Times New Roman" w:cs="Times New Roman" w:hint="eastAsia"/>
          <w:szCs w:val="21"/>
        </w:rPr>
        <w:t>ic</w:t>
      </w:r>
      <w:r w:rsidRPr="00C91D16">
        <w:rPr>
          <w:rFonts w:ascii="Times New Roman" w:hAnsi="Times New Roman" w:cs="Times New Roman"/>
          <w:szCs w:val="21"/>
        </w:rPr>
        <w:t xml:space="preserve"> distribution </w:t>
      </w:r>
      <w:r w:rsidRPr="00C91D16">
        <w:rPr>
          <w:rFonts w:ascii="Times New Roman" w:hAnsi="Times New Roman" w:cs="Times New Roman" w:hint="eastAsia"/>
          <w:szCs w:val="21"/>
        </w:rPr>
        <w:t>of RAGE.</w:t>
      </w:r>
    </w:p>
    <w:p w:rsidR="003A1867" w:rsidRPr="00C91D16" w:rsidRDefault="003A1867" w:rsidP="003A1867">
      <w:pPr>
        <w:spacing w:line="360" w:lineRule="auto"/>
        <w:rPr>
          <w:rFonts w:ascii="Times New Roman" w:hAnsi="Times New Roman" w:cs="Times New Roman"/>
          <w:szCs w:val="21"/>
        </w:rPr>
      </w:pPr>
    </w:p>
    <w:p w:rsidR="00AD1954" w:rsidRPr="003A1867" w:rsidRDefault="00AD1954"/>
    <w:sectPr w:rsidR="00AD1954" w:rsidRPr="003A18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0D2" w:rsidRDefault="001200D2" w:rsidP="003A1867">
      <w:r>
        <w:separator/>
      </w:r>
    </w:p>
  </w:endnote>
  <w:endnote w:type="continuationSeparator" w:id="0">
    <w:p w:rsidR="001200D2" w:rsidRDefault="001200D2" w:rsidP="003A1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D16" w:rsidRDefault="00C91D1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D16" w:rsidRDefault="00C91D16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D16" w:rsidRDefault="00C91D1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0D2" w:rsidRDefault="001200D2" w:rsidP="003A1867">
      <w:r>
        <w:separator/>
      </w:r>
    </w:p>
  </w:footnote>
  <w:footnote w:type="continuationSeparator" w:id="0">
    <w:p w:rsidR="001200D2" w:rsidRDefault="001200D2" w:rsidP="003A1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D16" w:rsidRDefault="00C91D1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867" w:rsidRDefault="003A1867" w:rsidP="00C91D16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D16" w:rsidRDefault="00C91D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DD8"/>
    <w:rsid w:val="00032F0C"/>
    <w:rsid w:val="00037EA7"/>
    <w:rsid w:val="00046061"/>
    <w:rsid w:val="00054ACB"/>
    <w:rsid w:val="00055AC7"/>
    <w:rsid w:val="000902A0"/>
    <w:rsid w:val="00094DE0"/>
    <w:rsid w:val="000A35A0"/>
    <w:rsid w:val="000A5206"/>
    <w:rsid w:val="000B3BA2"/>
    <w:rsid w:val="000C4AC6"/>
    <w:rsid w:val="000C4D91"/>
    <w:rsid w:val="000D5DAE"/>
    <w:rsid w:val="000D6C01"/>
    <w:rsid w:val="000F0C81"/>
    <w:rsid w:val="0010215B"/>
    <w:rsid w:val="00107F77"/>
    <w:rsid w:val="001200D2"/>
    <w:rsid w:val="001323FD"/>
    <w:rsid w:val="00143C65"/>
    <w:rsid w:val="00150447"/>
    <w:rsid w:val="00185A45"/>
    <w:rsid w:val="0019065D"/>
    <w:rsid w:val="001A2622"/>
    <w:rsid w:val="001B0ACA"/>
    <w:rsid w:val="001B3942"/>
    <w:rsid w:val="001B61D3"/>
    <w:rsid w:val="001C2A16"/>
    <w:rsid w:val="001D1065"/>
    <w:rsid w:val="001D3206"/>
    <w:rsid w:val="001E1AE6"/>
    <w:rsid w:val="001E40AE"/>
    <w:rsid w:val="00226F55"/>
    <w:rsid w:val="00241C9A"/>
    <w:rsid w:val="002520A7"/>
    <w:rsid w:val="00257ED5"/>
    <w:rsid w:val="00266602"/>
    <w:rsid w:val="00267D25"/>
    <w:rsid w:val="002C537B"/>
    <w:rsid w:val="002D427B"/>
    <w:rsid w:val="00314D29"/>
    <w:rsid w:val="00315A25"/>
    <w:rsid w:val="00324371"/>
    <w:rsid w:val="0033012F"/>
    <w:rsid w:val="00350E5B"/>
    <w:rsid w:val="003527CA"/>
    <w:rsid w:val="003847D7"/>
    <w:rsid w:val="00395DF4"/>
    <w:rsid w:val="00397CD1"/>
    <w:rsid w:val="003A1867"/>
    <w:rsid w:val="003D0A74"/>
    <w:rsid w:val="003E20A6"/>
    <w:rsid w:val="003E3732"/>
    <w:rsid w:val="004104B3"/>
    <w:rsid w:val="00414B00"/>
    <w:rsid w:val="00420643"/>
    <w:rsid w:val="00440ED5"/>
    <w:rsid w:val="0044188C"/>
    <w:rsid w:val="004A2666"/>
    <w:rsid w:val="004A5257"/>
    <w:rsid w:val="004C41B2"/>
    <w:rsid w:val="004D4093"/>
    <w:rsid w:val="00517292"/>
    <w:rsid w:val="00525BC8"/>
    <w:rsid w:val="005353F8"/>
    <w:rsid w:val="00545055"/>
    <w:rsid w:val="00545B42"/>
    <w:rsid w:val="0055078A"/>
    <w:rsid w:val="00566FE9"/>
    <w:rsid w:val="005A411B"/>
    <w:rsid w:val="005B25A1"/>
    <w:rsid w:val="005E13C2"/>
    <w:rsid w:val="005F6CB7"/>
    <w:rsid w:val="00614E1A"/>
    <w:rsid w:val="00627888"/>
    <w:rsid w:val="0064294A"/>
    <w:rsid w:val="006633F7"/>
    <w:rsid w:val="0066389A"/>
    <w:rsid w:val="00686780"/>
    <w:rsid w:val="006A73EC"/>
    <w:rsid w:val="006B4BE8"/>
    <w:rsid w:val="006C4C2E"/>
    <w:rsid w:val="006C4F95"/>
    <w:rsid w:val="006C79BE"/>
    <w:rsid w:val="006D0761"/>
    <w:rsid w:val="006F3533"/>
    <w:rsid w:val="007113FC"/>
    <w:rsid w:val="0071622B"/>
    <w:rsid w:val="007243F2"/>
    <w:rsid w:val="00730D30"/>
    <w:rsid w:val="007318A0"/>
    <w:rsid w:val="00733C7A"/>
    <w:rsid w:val="00735557"/>
    <w:rsid w:val="007432CA"/>
    <w:rsid w:val="0075009F"/>
    <w:rsid w:val="00754C66"/>
    <w:rsid w:val="00766667"/>
    <w:rsid w:val="00772E74"/>
    <w:rsid w:val="0078601D"/>
    <w:rsid w:val="00796AB9"/>
    <w:rsid w:val="007A0228"/>
    <w:rsid w:val="007B69C0"/>
    <w:rsid w:val="007D0811"/>
    <w:rsid w:val="007D589D"/>
    <w:rsid w:val="007F6F47"/>
    <w:rsid w:val="00804F5E"/>
    <w:rsid w:val="00805DEC"/>
    <w:rsid w:val="00811D93"/>
    <w:rsid w:val="00817BD8"/>
    <w:rsid w:val="00827765"/>
    <w:rsid w:val="00850E4E"/>
    <w:rsid w:val="00851C4D"/>
    <w:rsid w:val="00854603"/>
    <w:rsid w:val="008562FB"/>
    <w:rsid w:val="0086561B"/>
    <w:rsid w:val="00871E12"/>
    <w:rsid w:val="008A1F2C"/>
    <w:rsid w:val="00903DB0"/>
    <w:rsid w:val="00915FE4"/>
    <w:rsid w:val="00916F3F"/>
    <w:rsid w:val="00922001"/>
    <w:rsid w:val="00930FA1"/>
    <w:rsid w:val="0093304D"/>
    <w:rsid w:val="009437D5"/>
    <w:rsid w:val="00943E10"/>
    <w:rsid w:val="00951B19"/>
    <w:rsid w:val="009666C0"/>
    <w:rsid w:val="00977B50"/>
    <w:rsid w:val="00983D9D"/>
    <w:rsid w:val="00996DD8"/>
    <w:rsid w:val="009A0BB8"/>
    <w:rsid w:val="009A75A1"/>
    <w:rsid w:val="009C164B"/>
    <w:rsid w:val="00A057E7"/>
    <w:rsid w:val="00A156DC"/>
    <w:rsid w:val="00A211FD"/>
    <w:rsid w:val="00A46ED1"/>
    <w:rsid w:val="00A576A6"/>
    <w:rsid w:val="00A74582"/>
    <w:rsid w:val="00A83D73"/>
    <w:rsid w:val="00AD1954"/>
    <w:rsid w:val="00AE3701"/>
    <w:rsid w:val="00AE7E31"/>
    <w:rsid w:val="00AF36EF"/>
    <w:rsid w:val="00B126BB"/>
    <w:rsid w:val="00B168B7"/>
    <w:rsid w:val="00B300F3"/>
    <w:rsid w:val="00B30549"/>
    <w:rsid w:val="00B4428C"/>
    <w:rsid w:val="00B541B7"/>
    <w:rsid w:val="00B54AD5"/>
    <w:rsid w:val="00B66F89"/>
    <w:rsid w:val="00B7624E"/>
    <w:rsid w:val="00B81A0E"/>
    <w:rsid w:val="00B821C2"/>
    <w:rsid w:val="00B826D3"/>
    <w:rsid w:val="00B8415F"/>
    <w:rsid w:val="00B84208"/>
    <w:rsid w:val="00BB31D6"/>
    <w:rsid w:val="00BD169D"/>
    <w:rsid w:val="00BD6BA6"/>
    <w:rsid w:val="00BE3F3A"/>
    <w:rsid w:val="00BF111D"/>
    <w:rsid w:val="00BF4184"/>
    <w:rsid w:val="00C02CF1"/>
    <w:rsid w:val="00C516FD"/>
    <w:rsid w:val="00C52376"/>
    <w:rsid w:val="00C6557A"/>
    <w:rsid w:val="00C91D16"/>
    <w:rsid w:val="00C925FE"/>
    <w:rsid w:val="00C95C5D"/>
    <w:rsid w:val="00C97A63"/>
    <w:rsid w:val="00CB2DC6"/>
    <w:rsid w:val="00CB46C9"/>
    <w:rsid w:val="00CC5A89"/>
    <w:rsid w:val="00CD38B8"/>
    <w:rsid w:val="00D53C9B"/>
    <w:rsid w:val="00D7509B"/>
    <w:rsid w:val="00D8062A"/>
    <w:rsid w:val="00D938FE"/>
    <w:rsid w:val="00D977D9"/>
    <w:rsid w:val="00DA06CD"/>
    <w:rsid w:val="00DB0BF4"/>
    <w:rsid w:val="00DB1D1A"/>
    <w:rsid w:val="00DE019B"/>
    <w:rsid w:val="00DE77F5"/>
    <w:rsid w:val="00DF0F16"/>
    <w:rsid w:val="00E1051E"/>
    <w:rsid w:val="00E27F9D"/>
    <w:rsid w:val="00E70FEF"/>
    <w:rsid w:val="00E8547F"/>
    <w:rsid w:val="00EA2FBF"/>
    <w:rsid w:val="00EC5FC5"/>
    <w:rsid w:val="00ED606F"/>
    <w:rsid w:val="00F20064"/>
    <w:rsid w:val="00F27860"/>
    <w:rsid w:val="00F513D5"/>
    <w:rsid w:val="00F9776C"/>
    <w:rsid w:val="00FB2C0F"/>
    <w:rsid w:val="00FC038D"/>
    <w:rsid w:val="00FD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8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18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18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18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186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8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18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18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18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18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1601</Characters>
  <Application>Microsoft Office Word</Application>
  <DocSecurity>0</DocSecurity>
  <Lines>13</Lines>
  <Paragraphs>3</Paragraphs>
  <ScaleCrop>false</ScaleCrop>
  <Company>Microsoft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2019-09-23T13:11:00Z</dcterms:created>
  <dcterms:modified xsi:type="dcterms:W3CDTF">2019-09-23T13:26:00Z</dcterms:modified>
</cp:coreProperties>
</file>