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553F8" w14:textId="77777777" w:rsidR="00F42F42" w:rsidRPr="008B69A7" w:rsidRDefault="00F42F42" w:rsidP="008B69A7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B69A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Fig. S1.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RUNX1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mutations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the TCGA pan-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cancer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database.</w:t>
      </w:r>
    </w:p>
    <w:p w14:paraId="3A230445" w14:textId="0A68FD51" w:rsidR="00F42F42" w:rsidRPr="008B69A7" w:rsidRDefault="00F42F42" w:rsidP="008B69A7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B69A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Fig. S2</w:t>
      </w:r>
      <w:r w:rsidRPr="008B69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IHC were performed to analysis the expression of MMP9 in 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207B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and 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220L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tissue sites.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Quantitative analyses were performed using ImageJ software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for each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high-magnification view.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n=3 per group.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Scale,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100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μm</w:t>
      </w:r>
      <w:proofErr w:type="spellEnd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(*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*** indicate p&lt;0.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0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001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).</w:t>
      </w:r>
    </w:p>
    <w:p w14:paraId="6C67A73A" w14:textId="102814BF" w:rsidR="00F42F42" w:rsidRPr="008B69A7" w:rsidRDefault="00F42F42" w:rsidP="008B69A7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B69A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Fig. S3</w:t>
      </w:r>
      <w:r w:rsidRPr="008B69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a.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mRNA expression levels of molecular markers of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the c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lassical, </w:t>
      </w:r>
      <w:proofErr w:type="spellStart"/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M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es</w:t>
      </w:r>
      <w:proofErr w:type="spellEnd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n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eural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and </w:t>
      </w:r>
      <w:proofErr w:type="spellStart"/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p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roneural</w:t>
      </w:r>
      <w:proofErr w:type="spellEnd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subtypes in 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220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L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, 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207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B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, 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220C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N9, U251 and N33 cells.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b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comparison of mRNA expression levels in </w:t>
      </w:r>
      <w:proofErr w:type="spellStart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VerhaakMes</w:t>
      </w:r>
      <w:proofErr w:type="spellEnd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phenotyping packages (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220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L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vs 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207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B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N9 vs U251) and </w:t>
      </w:r>
      <w:proofErr w:type="spellStart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VerhaakProneural</w:t>
      </w:r>
      <w:proofErr w:type="spellEnd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phenotyping packages (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207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B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vs 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220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L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U251 vs N9).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5F8745F1" w14:textId="0750148E" w:rsidR="00F42F42" w:rsidRPr="008B69A7" w:rsidRDefault="00F42F42" w:rsidP="008B69A7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B69A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Fig. S4</w:t>
      </w:r>
      <w:r w:rsidRPr="008B69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a.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GSEA for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comparison of mRNA expression levels in </w:t>
      </w:r>
      <w:proofErr w:type="spellStart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Verhaak</w:t>
      </w:r>
      <w:proofErr w:type="spellEnd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Mes</w:t>
      </w:r>
      <w:proofErr w:type="spellEnd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phenotyping packages (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220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C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vs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U251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 and </w:t>
      </w:r>
      <w:proofErr w:type="spellStart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Verhaak</w:t>
      </w:r>
      <w:proofErr w:type="spellEnd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Proneural</w:t>
      </w:r>
      <w:proofErr w:type="spellEnd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phenotyping packages (U251 vs 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220C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).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b.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T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 expression of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marker gene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 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207B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, U251, 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220L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or N9 and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sample that has been typed by TCGA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.</w:t>
      </w:r>
    </w:p>
    <w:p w14:paraId="639321B7" w14:textId="69335E11" w:rsidR="00F42F42" w:rsidRPr="008B69A7" w:rsidRDefault="00F42F42" w:rsidP="008B69A7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B69A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Fig. S5</w:t>
      </w:r>
      <w:r w:rsidRPr="008B69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M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utual correlation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s in mRNA expression in the N9, 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220, 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220C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, U251, N33 and 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TBD</w:t>
      </w:r>
      <w:r w:rsidR="00A6508A"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0</w:t>
      </w:r>
      <w:r w:rsidRPr="00A6508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207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tissues or cell lines.</w:t>
      </w:r>
    </w:p>
    <w:p w14:paraId="1E814A4A" w14:textId="6B845391" w:rsidR="00F42F42" w:rsidRPr="008B69A7" w:rsidRDefault="00F42F42" w:rsidP="008B69A7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B69A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Fig</w:t>
      </w:r>
      <w:r w:rsidR="008B69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 xml:space="preserve"> S6</w:t>
      </w:r>
      <w:r w:rsidRPr="008B69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relative expression of RUNX1 was highe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st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 the </w:t>
      </w:r>
      <w:proofErr w:type="spellStart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Mes</w:t>
      </w:r>
      <w:proofErr w:type="spellEnd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group in the CGGA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(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a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)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TCGA 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(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b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)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datasets. ROC curves</w:t>
      </w:r>
      <w:r w:rsidR="002B2AF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were used to evaluate the sensitivity of RUNX1 as a molecular marker of </w:t>
      </w:r>
      <w:proofErr w:type="spellStart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Mes</w:t>
      </w:r>
      <w:proofErr w:type="spellEnd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GBM in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the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CGGA 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(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c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)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TCGA 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(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d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)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datasets.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Genes that were p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ositively correlated with RUNX1 presented </w:t>
      </w:r>
      <w:proofErr w:type="spellStart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Verhaak</w:t>
      </w:r>
      <w:proofErr w:type="spellEnd"/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Mes</w:t>
      </w:r>
      <w:proofErr w:type="spellEnd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signatures in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the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CGGA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(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e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)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TCGA 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(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f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)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datasets. (** and **** indicate p&lt;0.01 and p&lt;0.0001, respectively).</w:t>
      </w:r>
    </w:p>
    <w:p w14:paraId="610BC66F" w14:textId="527DF3EC" w:rsidR="002268D9" w:rsidRPr="008B69A7" w:rsidRDefault="00F42F42" w:rsidP="008B69A7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B69A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lastRenderedPageBreak/>
        <w:t>Fig</w:t>
      </w:r>
      <w:r w:rsidR="008B69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 xml:space="preserve"> S7</w:t>
      </w:r>
      <w:r w:rsidRPr="008B69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The overall survival and progression-free survival about RUNX1 in the TCGA and CGGA datasets were shown.</w:t>
      </w:r>
    </w:p>
    <w:p w14:paraId="1BC86A17" w14:textId="7D031A3D" w:rsidR="00F42F42" w:rsidRPr="008B69A7" w:rsidRDefault="00F42F42" w:rsidP="008B69A7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B69A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Fig</w:t>
      </w:r>
      <w:r w:rsidR="008B69A7" w:rsidRPr="008B69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 xml:space="preserve"> S8</w:t>
      </w:r>
      <w:r w:rsidRPr="008B69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a.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The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expression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levels of RUNX1, RUNX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and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RUNX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are shown for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different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WHO grades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 xml:space="preserve"> (b)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and GBM subtypes 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(c)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d.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ROC curves were used to evaluate the sensitivity of RUNX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2 and RUNX3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as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the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molecular marker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s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 </w:t>
      </w:r>
      <w:proofErr w:type="spellStart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Mes</w:t>
      </w:r>
      <w:proofErr w:type="spellEnd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GBM in CGGA datasets. (*, **,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***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and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*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*** indicate p&lt;0.05, p&lt;0.01,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p&lt;0.001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and p&lt;0.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0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001, respectively).</w:t>
      </w:r>
    </w:p>
    <w:p w14:paraId="729ABF0E" w14:textId="61F9B0B3" w:rsidR="00F42F42" w:rsidRPr="008B69A7" w:rsidRDefault="00F42F42" w:rsidP="008B69A7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B69A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Fig. S9</w:t>
      </w:r>
      <w:r w:rsidRPr="008B69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a.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The string protein-protein interaction network of RUNX1.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interaction between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p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redictive protein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and RUNX1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ere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validated by co-IP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b.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Subcellular localization of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RUNX1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p-Smad3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and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SUV39H1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N9 cells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under normal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and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LY2109761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-treated conditions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Scale bar, 5</w:t>
      </w:r>
      <w:r w:rsidR="00943A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μm</w:t>
      </w:r>
      <w:proofErr w:type="spellEnd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A correlation analysis verified positional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overlap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n=5 per group. 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c.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L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ocalization of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RUNX1 and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SUV39H1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U251 cells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under normal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or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TGFβ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-treated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conditions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ImageJ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calculated the proportion of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RUNX1 and SUV39H1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 the cytoplasm before and after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TGF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β treatment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Scale bar,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10</w:t>
      </w:r>
      <w:r w:rsidR="00943A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A4DF2"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μ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</w:t>
      </w:r>
      <w:proofErr w:type="spellEnd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d.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interaction between SUV39H1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and P-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Smad3 was validated by co-IP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Subcellular localization of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p-Smad3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and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SUV39H1 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293T cells.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Scale bar, 5 </w:t>
      </w:r>
      <w:proofErr w:type="spellStart"/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μ</w:t>
      </w:r>
      <w:r w:rsidR="00943A5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</w:t>
      </w:r>
      <w:proofErr w:type="spellEnd"/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(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**** indicate p&lt;0.0001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).</w:t>
      </w:r>
    </w:p>
    <w:p w14:paraId="35A07FF6" w14:textId="443CB608" w:rsidR="00F42F42" w:rsidRDefault="00F42F42" w:rsidP="008B69A7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B69A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Fig</w:t>
      </w:r>
      <w:r w:rsidR="008B69A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 xml:space="preserve"> S10</w:t>
      </w:r>
      <w:r w:rsidRPr="008B69A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a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Hierarchical cluster analysis and heatmap of the top 4</w:t>
      </w:r>
      <w:r w:rsidRPr="008B69A7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>2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most significantly enriched genes in a comparison of sequencing results between DMSO and LY2109761 treated PDX.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B2AF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b</w:t>
      </w:r>
      <w:r w:rsidRPr="002B2AF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8B69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Hierarchical cluster analysis and heatmap of the top 200 most significantly RUNX1-associated enriched genes.</w:t>
      </w:r>
    </w:p>
    <w:p w14:paraId="68203409" w14:textId="137E0E26" w:rsidR="0014009D" w:rsidRDefault="0014009D" w:rsidP="0014009D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4009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lastRenderedPageBreak/>
        <w:t>Fig. S11. a.</w:t>
      </w:r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Mutual correlation of RUNX1, BCL3, COL3A1, MGP, POSTN and MXI1 in the </w:t>
      </w:r>
      <w:proofErr w:type="spellStart"/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Mes</w:t>
      </w:r>
      <w:proofErr w:type="spellEnd"/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samples of TCGA and CGGA datasets. The number in the circle represents the r value. </w:t>
      </w:r>
      <w:r w:rsidRPr="0014009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b. </w:t>
      </w:r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Correlation analysis of RUNX1 expression with the expression of BCL3, COL3A1, MGP, POSTN, MXI1 and MYC in the </w:t>
      </w:r>
      <w:proofErr w:type="spellStart"/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Mes</w:t>
      </w:r>
      <w:proofErr w:type="spellEnd"/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samples of TCGA and CGGA datasets. (The TCGA microarray data was log-transformed.)</w:t>
      </w:r>
    </w:p>
    <w:p w14:paraId="65F182D9" w14:textId="434FE9E6" w:rsidR="0014009D" w:rsidRDefault="0014009D" w:rsidP="0014009D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4009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Fig. S12.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mRNA expression levels of BCL3, COL3A1, MGP, POSTN, MXI1 and MYC in GBM molecular subtypes.</w:t>
      </w:r>
    </w:p>
    <w:p w14:paraId="6BCCEEAC" w14:textId="20A0EABF" w:rsidR="0014009D" w:rsidRDefault="0014009D" w:rsidP="0014009D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4009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Fig. S13. a-e.</w:t>
      </w:r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overall survival and progression-free survival about BCL3, COL3A1, MGP, POSTN and MXI1 in the TCGA and CGGA datasets were shown.</w:t>
      </w:r>
    </w:p>
    <w:p w14:paraId="585A6D37" w14:textId="6365E3DC" w:rsidR="0014009D" w:rsidRDefault="0014009D" w:rsidP="0014009D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4009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Fig. S14. a-b.</w:t>
      </w:r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Western blotting and q-PCR were used to analyze the knockdown or overexpression efficiency of the lentivirus and plasmids. GAPDH was used as the loading control. (**** indicate p&lt;0.0001).</w:t>
      </w:r>
    </w:p>
    <w:p w14:paraId="56E364DC" w14:textId="5D51A1BA" w:rsidR="0014009D" w:rsidRDefault="0014009D" w:rsidP="0014009D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4009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Fig. S15. a.</w:t>
      </w:r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ChIP</w:t>
      </w:r>
      <w:proofErr w:type="spellEnd"/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analysis of the ability of RUNX1-negative region to bind to the BCL3, MGP or POSTN promoter using antibodies against RUNX1 in 293T cells. </w:t>
      </w:r>
      <w:r w:rsidRPr="0014009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b.</w:t>
      </w:r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interaction between p-Smad3 and Flag-RUNX1RHD-del or RUNX1 and Flag-Smad3MH1-del were validated by co-IP.</w:t>
      </w:r>
    </w:p>
    <w:p w14:paraId="1FB6319E" w14:textId="426A094A" w:rsidR="0014009D" w:rsidRDefault="0014009D" w:rsidP="0014009D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4009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Fig</w:t>
      </w:r>
      <w:r w:rsidR="00955B3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14009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S16.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H3K9me3 was enriched at the promoter region of MXI1 in the GSE103408 dataset. “1”, “2”, and “3” indicate the positions of the primer extension sequences.</w:t>
      </w:r>
    </w:p>
    <w:p w14:paraId="4BFB935B" w14:textId="33D61070" w:rsidR="0014009D" w:rsidRPr="0014009D" w:rsidRDefault="0014009D" w:rsidP="0014009D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4009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Fig</w:t>
      </w:r>
      <w:r w:rsidR="00955B3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14009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S17. a.</w:t>
      </w:r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IHC was used to analyze the expression of P-Smad3 at the control, TGFβ and LY2109761 sites. Quantitative analyses were performed using ImageJ software for each high-magnification view. n=5 per group. Scale, 20 </w:t>
      </w:r>
      <w:proofErr w:type="spellStart"/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μm</w:t>
      </w:r>
      <w:proofErr w:type="spellEnd"/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955B3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b. </w:t>
      </w:r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IHC was used to analyze the expression of MMP9 at the control and LY2109761 sites. Quantitative </w:t>
      </w:r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analyses were performed using ImageJ software for each high-magnification view. </w:t>
      </w:r>
      <w:bookmarkStart w:id="0" w:name="_GoBack"/>
      <w:bookmarkEnd w:id="0"/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n=5 per group. Scale, 100 </w:t>
      </w:r>
      <w:proofErr w:type="spellStart"/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μm</w:t>
      </w:r>
      <w:proofErr w:type="spellEnd"/>
      <w:r w:rsidRPr="001400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(*** and **** indicate p&lt;0.001 and p&lt;0.0001).</w:t>
      </w:r>
    </w:p>
    <w:sectPr w:rsidR="0014009D" w:rsidRPr="001400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09056" w14:textId="77777777" w:rsidR="00FF5D0B" w:rsidRDefault="00FF5D0B" w:rsidP="008B69A7">
      <w:pPr>
        <w:spacing w:after="0" w:line="240" w:lineRule="auto"/>
      </w:pPr>
      <w:r>
        <w:separator/>
      </w:r>
    </w:p>
  </w:endnote>
  <w:endnote w:type="continuationSeparator" w:id="0">
    <w:p w14:paraId="4B40360C" w14:textId="77777777" w:rsidR="00FF5D0B" w:rsidRDefault="00FF5D0B" w:rsidP="008B6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AA6BA" w14:textId="77777777" w:rsidR="00FF5D0B" w:rsidRDefault="00FF5D0B" w:rsidP="008B69A7">
      <w:pPr>
        <w:spacing w:after="0" w:line="240" w:lineRule="auto"/>
      </w:pPr>
      <w:r>
        <w:separator/>
      </w:r>
    </w:p>
  </w:footnote>
  <w:footnote w:type="continuationSeparator" w:id="0">
    <w:p w14:paraId="3DF23E1F" w14:textId="77777777" w:rsidR="00FF5D0B" w:rsidRDefault="00FF5D0B" w:rsidP="008B69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42"/>
    <w:rsid w:val="0014009D"/>
    <w:rsid w:val="001A6361"/>
    <w:rsid w:val="002268D9"/>
    <w:rsid w:val="002B2AFE"/>
    <w:rsid w:val="008B69A7"/>
    <w:rsid w:val="00943A58"/>
    <w:rsid w:val="00955B3F"/>
    <w:rsid w:val="00A6508A"/>
    <w:rsid w:val="00AA4DF2"/>
    <w:rsid w:val="00AC2C59"/>
    <w:rsid w:val="00B375C4"/>
    <w:rsid w:val="00F42F42"/>
    <w:rsid w:val="00FF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402754"/>
  <w15:chartTrackingRefBased/>
  <w15:docId w15:val="{41612FCA-CE5D-4F50-A8DC-2440A9664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42F42"/>
    <w:pPr>
      <w:spacing w:after="200" w:line="276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42F42"/>
    <w:rPr>
      <w:i/>
      <w:iCs/>
    </w:rPr>
  </w:style>
  <w:style w:type="paragraph" w:styleId="a4">
    <w:name w:val="header"/>
    <w:basedOn w:val="a"/>
    <w:link w:val="a5"/>
    <w:uiPriority w:val="99"/>
    <w:unhideWhenUsed/>
    <w:rsid w:val="008B69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69A7"/>
    <w:rPr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69A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69A7"/>
    <w:rPr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704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崔 晓腾</dc:creator>
  <cp:keywords/>
  <dc:description/>
  <cp:lastModifiedBy>崔 晓腾</cp:lastModifiedBy>
  <cp:revision>2</cp:revision>
  <dcterms:created xsi:type="dcterms:W3CDTF">2019-11-13T14:46:00Z</dcterms:created>
  <dcterms:modified xsi:type="dcterms:W3CDTF">2019-11-13T14:46:00Z</dcterms:modified>
</cp:coreProperties>
</file>