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4FB09" w14:textId="77777777" w:rsidR="00C96170" w:rsidRDefault="00C96170" w:rsidP="00C96170">
      <w:pPr>
        <w:widowControl/>
        <w:spacing w:after="120" w:line="259" w:lineRule="auto"/>
        <w:jc w:val="left"/>
      </w:pPr>
    </w:p>
    <w:p w14:paraId="09AF7AFD" w14:textId="77777777" w:rsidR="00C96170" w:rsidRDefault="00C96170" w:rsidP="00C96170">
      <w:pPr>
        <w:widowControl/>
        <w:spacing w:line="259" w:lineRule="auto"/>
        <w:jc w:val="left"/>
        <w:rPr>
          <w:rFonts w:ascii="Calibri" w:hAnsi="Calibri" w:cs="Calibri" w:hint="eastAsia"/>
          <w:b/>
          <w:i/>
          <w:sz w:val="22"/>
        </w:rPr>
      </w:pPr>
      <w:r w:rsidRPr="00901370">
        <w:rPr>
          <w:rFonts w:ascii="Calibri" w:hAnsi="Calibri" w:cs="Calibri"/>
          <w:b/>
          <w:i/>
          <w:sz w:val="22"/>
        </w:rPr>
        <w:t>Patient information for a case report</w:t>
      </w:r>
    </w:p>
    <w:p w14:paraId="2C0DF2E9" w14:textId="77777777" w:rsidR="00C96170" w:rsidRPr="00901370" w:rsidRDefault="00C96170" w:rsidP="00C96170">
      <w:pPr>
        <w:widowControl/>
        <w:spacing w:line="259" w:lineRule="auto"/>
        <w:jc w:val="left"/>
        <w:rPr>
          <w:rFonts w:ascii="Calibri" w:hAnsi="Calibri" w:cs="Calibri" w:hint="eastAsia"/>
          <w:b/>
          <w:i/>
          <w:sz w:val="22"/>
        </w:rPr>
      </w:pPr>
    </w:p>
    <w:p w14:paraId="2E2C948F" w14:textId="77777777" w:rsidR="00C96170" w:rsidRPr="00815BDF" w:rsidRDefault="00C96170" w:rsidP="00C96170">
      <w:pPr>
        <w:widowControl/>
        <w:spacing w:line="259" w:lineRule="auto"/>
        <w:jc w:val="left"/>
        <w:rPr>
          <w:rFonts w:ascii="Calibri" w:hAnsi="Calibri" w:cs="Calibri"/>
          <w:sz w:val="22"/>
        </w:rPr>
      </w:pPr>
      <w:r w:rsidRPr="00901370">
        <w:rPr>
          <w:rFonts w:ascii="Calibri" w:hAnsi="Calibri" w:cs="Calibri"/>
          <w:sz w:val="22"/>
        </w:rPr>
        <w:t xml:space="preserve">A 75 year-old female was </w:t>
      </w:r>
      <w:r>
        <w:rPr>
          <w:rFonts w:ascii="Calibri" w:hAnsi="Calibri" w:cs="Calibri"/>
          <w:sz w:val="22"/>
        </w:rPr>
        <w:t xml:space="preserve">initially </w:t>
      </w:r>
      <w:r w:rsidRPr="00901370">
        <w:rPr>
          <w:rFonts w:ascii="Calibri" w:hAnsi="Calibri" w:cs="Calibri"/>
          <w:sz w:val="22"/>
        </w:rPr>
        <w:t xml:space="preserve">diagnosed as primary </w:t>
      </w:r>
      <w:r>
        <w:rPr>
          <w:rFonts w:ascii="Calibri" w:hAnsi="Calibri" w:cs="Calibri"/>
          <w:sz w:val="22"/>
        </w:rPr>
        <w:t>extra</w:t>
      </w:r>
      <w:r>
        <w:rPr>
          <w:rFonts w:ascii="Calibri" w:hAnsi="Calibri" w:cs="Calibri" w:hint="eastAsia"/>
          <w:sz w:val="22"/>
        </w:rPr>
        <w:t>-</w:t>
      </w:r>
      <w:r>
        <w:rPr>
          <w:rFonts w:ascii="Calibri" w:hAnsi="Calibri" w:cs="Calibri"/>
          <w:sz w:val="22"/>
        </w:rPr>
        <w:t xml:space="preserve">nodal </w:t>
      </w:r>
      <w:r w:rsidRPr="00901370">
        <w:rPr>
          <w:rFonts w:ascii="Calibri" w:hAnsi="Calibri" w:cs="Calibri"/>
          <w:sz w:val="22"/>
        </w:rPr>
        <w:t xml:space="preserve">DLBCL </w:t>
      </w:r>
      <w:r>
        <w:rPr>
          <w:rFonts w:ascii="Calibri" w:hAnsi="Calibri" w:cs="Calibri"/>
          <w:sz w:val="22"/>
        </w:rPr>
        <w:t xml:space="preserve">in the </w:t>
      </w:r>
      <w:r w:rsidRPr="00901370">
        <w:rPr>
          <w:rFonts w:ascii="Calibri" w:hAnsi="Calibri" w:cs="Calibri"/>
          <w:sz w:val="22"/>
        </w:rPr>
        <w:t>small intestine and had surgical resection in May 2010.</w:t>
      </w:r>
      <w:r>
        <w:rPr>
          <w:rFonts w:ascii="Calibri" w:hAnsi="Calibri" w:cs="Calibri"/>
          <w:sz w:val="22"/>
        </w:rPr>
        <w:t xml:space="preserve"> </w:t>
      </w:r>
      <w:r w:rsidRPr="00901370">
        <w:rPr>
          <w:rFonts w:ascii="Calibri" w:hAnsi="Calibri" w:cs="Calibri"/>
          <w:sz w:val="22"/>
        </w:rPr>
        <w:t xml:space="preserve">Pathological IHC examination showed that the tumor was CD20+, CD3+, CD10- and Bcl-6-. Following 7 cycles of R-CHOP treatment, the patient experienced a grade IV myelosuppression. </w:t>
      </w:r>
      <w:r>
        <w:rPr>
          <w:rFonts w:ascii="Calibri" w:hAnsi="Calibri" w:cs="Calibri" w:hint="eastAsia"/>
          <w:sz w:val="22"/>
        </w:rPr>
        <w:t>I</w:t>
      </w:r>
      <w:r w:rsidRPr="00901370">
        <w:rPr>
          <w:rFonts w:ascii="Calibri" w:hAnsi="Calibri" w:cs="Calibri"/>
          <w:sz w:val="22"/>
        </w:rPr>
        <w:t>n October 2014, she had a nasal tumor, diagnosed as secondary nasal DLBCL after surgical resection with CD20+, CD3+, Ki67+ (80%), Bcl-6-, CD21-, CD50- and she was treated by R-CHOP and R-DOCE for several cycles until a grade IV myelosuppression happened again. Patient was subsequently treated with Rituximab alone for 2 cycles and achieved a complete response.  In November 2015, she had multiple nodules in the left breast, with left axillary, double neck, submandibular, and double inguinal lymphadenopathy, treated with R-CHOP</w:t>
      </w:r>
      <w:r>
        <w:rPr>
          <w:rFonts w:ascii="Calibri" w:hAnsi="Calibri" w:cs="Calibri"/>
          <w:sz w:val="22"/>
        </w:rPr>
        <w:t xml:space="preserve"> </w:t>
      </w:r>
      <w:r w:rsidRPr="00901370">
        <w:rPr>
          <w:rFonts w:ascii="Calibri" w:hAnsi="Calibri" w:cs="Calibri"/>
          <w:sz w:val="22"/>
        </w:rPr>
        <w:t xml:space="preserve">for several cycles and achieved as a stable disease. In January 2017, patient underwent a surgical resection to remove the tumor in the left breast, as diagnosed as secondary non-GCB DLBCL with CD20+, CD3+, CD5+, Bcl-2+, Bcl-6-, CD21-, CD10-, cyclin D1-. She was treated with Rituximab plus Gemcitabine and Oxaliplatin, Rituximab plus Bendamustine, Rituximab plus Ibrutinib for several cycles, achieved </w:t>
      </w:r>
      <w:r w:rsidRPr="00901370">
        <w:rPr>
          <w:rFonts w:ascii="Calibri" w:hAnsi="Calibri" w:cs="Calibri"/>
          <w:color w:val="000000" w:themeColor="text1"/>
          <w:sz w:val="22"/>
          <w:shd w:val="clear" w:color="auto" w:fill="FFFFFF"/>
        </w:rPr>
        <w:t>clinically relevant </w:t>
      </w:r>
      <w:r w:rsidRPr="00901370">
        <w:rPr>
          <w:rFonts w:ascii="Calibri" w:hAnsi="Calibri" w:cs="Calibri"/>
          <w:sz w:val="22"/>
        </w:rPr>
        <w:t xml:space="preserve">stable disease. In April 2018, her tumor progressed again with multiple subcutaneous nodules. </w:t>
      </w:r>
      <w:r w:rsidRPr="00815BDF">
        <w:rPr>
          <w:rFonts w:ascii="Calibri" w:hAnsi="Calibri" w:cs="Calibri"/>
          <w:sz w:val="22"/>
        </w:rPr>
        <w:t>After treatment with Rituximab plus Bendamustine and Ibrutinib for several cycles the patient failed to respond, therefore it was diagnosed as relapsed/refractory cutaneous DLBCL.</w:t>
      </w:r>
      <w:r w:rsidRPr="00901370">
        <w:rPr>
          <w:rFonts w:ascii="Calibri" w:hAnsi="Calibri" w:cs="Calibri"/>
          <w:sz w:val="22"/>
        </w:rPr>
        <w:t xml:space="preserve"> </w:t>
      </w:r>
      <w:r w:rsidRPr="00515114">
        <w:rPr>
          <w:rFonts w:ascii="Calibri" w:hAnsi="Calibri" w:cs="Calibri"/>
          <w:sz w:val="22"/>
        </w:rPr>
        <w:t>In November 2018, the patient was treated with Chidamide and Rituximab for t</w:t>
      </w:r>
      <w:r>
        <w:rPr>
          <w:rFonts w:ascii="Calibri" w:hAnsi="Calibri" w:cs="Calibri"/>
          <w:sz w:val="22"/>
        </w:rPr>
        <w:t>hree</w:t>
      </w:r>
      <w:r w:rsidRPr="00515114">
        <w:rPr>
          <w:rFonts w:ascii="Calibri" w:hAnsi="Calibri" w:cs="Calibri"/>
          <w:sz w:val="22"/>
        </w:rPr>
        <w:t xml:space="preserve"> cycles. </w:t>
      </w:r>
      <w:r w:rsidRPr="00815BDF">
        <w:rPr>
          <w:rFonts w:ascii="Calibri" w:hAnsi="Calibri" w:cs="Calibri"/>
          <w:sz w:val="22"/>
        </w:rPr>
        <w:t xml:space="preserve">One cycle lasted for 21 days. Patient received Chidamide 10 mg/per day po (days 1-6, 8-14, cycles 1-3) plus Rituximab </w:t>
      </w:r>
      <w:r w:rsidRPr="00815BDF">
        <w:rPr>
          <w:rFonts w:ascii="Calibri" w:hAnsi="Calibri" w:cs="Calibri"/>
          <w:color w:val="1C1D1E"/>
          <w:sz w:val="22"/>
          <w:shd w:val="clear" w:color="auto" w:fill="FFFFFF"/>
        </w:rPr>
        <w:t>375 mg/m</w:t>
      </w:r>
      <w:r w:rsidRPr="00815BDF">
        <w:rPr>
          <w:rFonts w:ascii="Calibri" w:hAnsi="Calibri" w:cs="Calibri"/>
          <w:color w:val="1C1D1E"/>
          <w:sz w:val="22"/>
          <w:shd w:val="clear" w:color="auto" w:fill="FFFFFF"/>
          <w:vertAlign w:val="superscript"/>
        </w:rPr>
        <w:t>2</w:t>
      </w:r>
      <w:r w:rsidRPr="00815BDF">
        <w:rPr>
          <w:rFonts w:ascii="Calibri" w:hAnsi="Calibri" w:cs="Calibri"/>
          <w:sz w:val="22"/>
        </w:rPr>
        <w:t xml:space="preserve"> iv (day 7, cycles 1-3). The patient had rest on the third week (day 15-21) without treatment. The treatment response was clinically evaluated using PET-CT (Positron Emission Tomography - Computed Tomography). The ethical approval for this study was made by Tianjin Union Medical Center research ethical committee in accordance with the Declaration of Helsinki.</w:t>
      </w:r>
    </w:p>
    <w:p w14:paraId="7F4C0976" w14:textId="77777777" w:rsidR="00C96170" w:rsidRPr="00873875" w:rsidRDefault="00C96170" w:rsidP="00C96170">
      <w:pPr>
        <w:widowControl/>
        <w:spacing w:after="120" w:line="259" w:lineRule="auto"/>
        <w:jc w:val="left"/>
      </w:pPr>
    </w:p>
    <w:p w14:paraId="2313FA11" w14:textId="77777777" w:rsidR="008A1C5C" w:rsidRDefault="00C96170" w:rsidP="00C96170">
      <w:pPr>
        <w:widowControl/>
        <w:spacing w:line="259" w:lineRule="auto"/>
        <w:jc w:val="left"/>
      </w:pPr>
      <w:bookmarkStart w:id="0" w:name="_GoBack"/>
      <w:bookmarkEnd w:id="0"/>
    </w:p>
    <w:sectPr w:rsidR="008A1C5C" w:rsidSect="00AB1360">
      <w:footerReference w:type="default" r:id="rId4"/>
      <w:pgSz w:w="12240" w:h="15840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86493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B3F23" w14:textId="77777777" w:rsidR="00062B34" w:rsidRDefault="00C9617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31F02B" w14:textId="77777777" w:rsidR="00062B34" w:rsidRDefault="00C96170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70"/>
    <w:rsid w:val="000064B5"/>
    <w:rsid w:val="00041D36"/>
    <w:rsid w:val="00051819"/>
    <w:rsid w:val="00061EAE"/>
    <w:rsid w:val="00082F0E"/>
    <w:rsid w:val="00093F98"/>
    <w:rsid w:val="000C6A67"/>
    <w:rsid w:val="000D1F2C"/>
    <w:rsid w:val="000D4E1B"/>
    <w:rsid w:val="000E28AA"/>
    <w:rsid w:val="00113A1F"/>
    <w:rsid w:val="00155B45"/>
    <w:rsid w:val="00175B0B"/>
    <w:rsid w:val="00184DC9"/>
    <w:rsid w:val="001861EE"/>
    <w:rsid w:val="00191795"/>
    <w:rsid w:val="001952DD"/>
    <w:rsid w:val="001E2D65"/>
    <w:rsid w:val="00262431"/>
    <w:rsid w:val="00273D71"/>
    <w:rsid w:val="00280FF6"/>
    <w:rsid w:val="00296682"/>
    <w:rsid w:val="00321E40"/>
    <w:rsid w:val="00333A8C"/>
    <w:rsid w:val="00334C3B"/>
    <w:rsid w:val="00363193"/>
    <w:rsid w:val="00363352"/>
    <w:rsid w:val="00367278"/>
    <w:rsid w:val="003F3F1D"/>
    <w:rsid w:val="00402175"/>
    <w:rsid w:val="00410BAB"/>
    <w:rsid w:val="00427EE2"/>
    <w:rsid w:val="004845F3"/>
    <w:rsid w:val="00487C10"/>
    <w:rsid w:val="004C5220"/>
    <w:rsid w:val="004C640C"/>
    <w:rsid w:val="004D57D7"/>
    <w:rsid w:val="004F2B46"/>
    <w:rsid w:val="00510AFE"/>
    <w:rsid w:val="00556074"/>
    <w:rsid w:val="0059390A"/>
    <w:rsid w:val="00596659"/>
    <w:rsid w:val="005D289A"/>
    <w:rsid w:val="006252A8"/>
    <w:rsid w:val="00644779"/>
    <w:rsid w:val="006649A6"/>
    <w:rsid w:val="00665DD8"/>
    <w:rsid w:val="00687459"/>
    <w:rsid w:val="00696129"/>
    <w:rsid w:val="006B3404"/>
    <w:rsid w:val="006C19CB"/>
    <w:rsid w:val="006C22D6"/>
    <w:rsid w:val="00702EE9"/>
    <w:rsid w:val="0074662B"/>
    <w:rsid w:val="00752AE2"/>
    <w:rsid w:val="00757FE1"/>
    <w:rsid w:val="007F1CE2"/>
    <w:rsid w:val="007F494C"/>
    <w:rsid w:val="00832059"/>
    <w:rsid w:val="00851F67"/>
    <w:rsid w:val="00865534"/>
    <w:rsid w:val="008864BC"/>
    <w:rsid w:val="008A30A6"/>
    <w:rsid w:val="008B79E8"/>
    <w:rsid w:val="008E3274"/>
    <w:rsid w:val="008F00CE"/>
    <w:rsid w:val="00904798"/>
    <w:rsid w:val="00912F0D"/>
    <w:rsid w:val="00937AB9"/>
    <w:rsid w:val="00942A42"/>
    <w:rsid w:val="0095455B"/>
    <w:rsid w:val="00957D3D"/>
    <w:rsid w:val="00976B60"/>
    <w:rsid w:val="0099227F"/>
    <w:rsid w:val="009B2D5A"/>
    <w:rsid w:val="009E1856"/>
    <w:rsid w:val="009E22C0"/>
    <w:rsid w:val="00AB5290"/>
    <w:rsid w:val="00B057BC"/>
    <w:rsid w:val="00B33F4E"/>
    <w:rsid w:val="00B34316"/>
    <w:rsid w:val="00B45E6E"/>
    <w:rsid w:val="00B51643"/>
    <w:rsid w:val="00B63867"/>
    <w:rsid w:val="00B83662"/>
    <w:rsid w:val="00B93197"/>
    <w:rsid w:val="00BC14FE"/>
    <w:rsid w:val="00BC5056"/>
    <w:rsid w:val="00BD0AC6"/>
    <w:rsid w:val="00BF3E2A"/>
    <w:rsid w:val="00C96170"/>
    <w:rsid w:val="00C97340"/>
    <w:rsid w:val="00CF03EE"/>
    <w:rsid w:val="00D05137"/>
    <w:rsid w:val="00D27AC1"/>
    <w:rsid w:val="00D30A42"/>
    <w:rsid w:val="00D40275"/>
    <w:rsid w:val="00D43040"/>
    <w:rsid w:val="00D446CA"/>
    <w:rsid w:val="00D536B7"/>
    <w:rsid w:val="00D544E3"/>
    <w:rsid w:val="00D62FA7"/>
    <w:rsid w:val="00D66157"/>
    <w:rsid w:val="00D904D9"/>
    <w:rsid w:val="00DA4C3B"/>
    <w:rsid w:val="00DD27D3"/>
    <w:rsid w:val="00E16E88"/>
    <w:rsid w:val="00E30C4A"/>
    <w:rsid w:val="00E40145"/>
    <w:rsid w:val="00E738D2"/>
    <w:rsid w:val="00EA533F"/>
    <w:rsid w:val="00EB225F"/>
    <w:rsid w:val="00EB45CE"/>
    <w:rsid w:val="00EE34E2"/>
    <w:rsid w:val="00F05AA8"/>
    <w:rsid w:val="00F253F4"/>
    <w:rsid w:val="00F40BF5"/>
    <w:rsid w:val="00FA7811"/>
    <w:rsid w:val="00FB24FB"/>
    <w:rsid w:val="00FF0737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8EF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170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96170"/>
    <w:pPr>
      <w:widowControl/>
      <w:tabs>
        <w:tab w:val="center" w:pos="4513"/>
        <w:tab w:val="right" w:pos="9026"/>
      </w:tabs>
      <w:jc w:val="left"/>
    </w:pPr>
    <w:rPr>
      <w:kern w:val="0"/>
      <w:sz w:val="22"/>
      <w:lang w:val="en-GB"/>
    </w:rPr>
  </w:style>
  <w:style w:type="character" w:customStyle="1" w:styleId="a4">
    <w:name w:val="页脚字符"/>
    <w:basedOn w:val="a0"/>
    <w:link w:val="a3"/>
    <w:uiPriority w:val="99"/>
    <w:rsid w:val="00C96170"/>
    <w:rPr>
      <w:kern w:val="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1842</Characters>
  <Application>Microsoft Macintosh Word</Application>
  <DocSecurity>0</DocSecurity>
  <Lines>15</Lines>
  <Paragraphs>4</Paragraphs>
  <ScaleCrop>false</ScaleCrop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 xuwen</dc:creator>
  <cp:keywords/>
  <dc:description/>
  <cp:lastModifiedBy>guan xuwen</cp:lastModifiedBy>
  <cp:revision>1</cp:revision>
  <dcterms:created xsi:type="dcterms:W3CDTF">2019-11-21T14:27:00Z</dcterms:created>
  <dcterms:modified xsi:type="dcterms:W3CDTF">2019-11-21T14:29:00Z</dcterms:modified>
</cp:coreProperties>
</file>