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6905" w:rsidRPr="00207397" w:rsidRDefault="007B6905" w:rsidP="007B6905">
      <w:pPr>
        <w:spacing w:line="480" w:lineRule="auto"/>
        <w:rPr>
          <w:rFonts w:ascii="Arial" w:hAnsi="Arial" w:cs="Arial"/>
          <w:szCs w:val="24"/>
        </w:rPr>
      </w:pPr>
      <w:bookmarkStart w:id="0" w:name="_GoBack"/>
      <w:r w:rsidRPr="00207397">
        <w:rPr>
          <w:rFonts w:ascii="Arial" w:hAnsi="Arial" w:cs="Arial"/>
          <w:szCs w:val="24"/>
        </w:rPr>
        <w:t>Supplementary figure and table legends for “PRMT5 promotes cancer cell migration and invasion through the E2F pathway”</w:t>
      </w:r>
    </w:p>
    <w:p w:rsidR="007B6905" w:rsidRPr="00207397" w:rsidRDefault="007B6905" w:rsidP="007B6905">
      <w:pPr>
        <w:spacing w:line="480" w:lineRule="auto"/>
        <w:rPr>
          <w:rFonts w:ascii="Arial" w:hAnsi="Arial" w:cs="Arial"/>
          <w:szCs w:val="24"/>
        </w:rPr>
      </w:pPr>
    </w:p>
    <w:p w:rsidR="007B6905" w:rsidRPr="00207397" w:rsidRDefault="007B6905" w:rsidP="007B6905">
      <w:pPr>
        <w:spacing w:line="480" w:lineRule="auto"/>
        <w:rPr>
          <w:rFonts w:ascii="Arial" w:hAnsi="Arial" w:cs="Arial"/>
          <w:szCs w:val="24"/>
        </w:rPr>
      </w:pPr>
      <w:r w:rsidRPr="00207397">
        <w:rPr>
          <w:rFonts w:ascii="Arial" w:hAnsi="Arial" w:cs="Arial"/>
          <w:szCs w:val="24"/>
        </w:rPr>
        <w:t>Wojciech Barczak, Li Jin, Simon Mark Carr, Shonagh Munro, Samuel Ward, Alexander Kanapin , Anastasia Samsonova, Nicholas B La Thangue*</w:t>
      </w:r>
    </w:p>
    <w:p w:rsidR="007B6905" w:rsidRPr="00207397" w:rsidRDefault="007B6905" w:rsidP="007B6905">
      <w:pPr>
        <w:spacing w:line="480" w:lineRule="auto"/>
        <w:rPr>
          <w:rFonts w:ascii="Arial" w:hAnsi="Arial" w:cs="Arial"/>
          <w:szCs w:val="24"/>
        </w:rPr>
      </w:pPr>
    </w:p>
    <w:p w:rsidR="007B6905" w:rsidRPr="00207397" w:rsidRDefault="007B6905" w:rsidP="007B6905">
      <w:pPr>
        <w:spacing w:line="480" w:lineRule="auto"/>
        <w:rPr>
          <w:rFonts w:ascii="Arial" w:hAnsi="Arial" w:cs="Arial"/>
          <w:szCs w:val="24"/>
        </w:rPr>
      </w:pPr>
      <w:r w:rsidRPr="00207397">
        <w:rPr>
          <w:rFonts w:ascii="Arial" w:hAnsi="Arial" w:cs="Arial"/>
          <w:szCs w:val="24"/>
        </w:rPr>
        <w:t>Nicholas B La Thangue</w:t>
      </w:r>
    </w:p>
    <w:p w:rsidR="007B6905" w:rsidRPr="00207397" w:rsidRDefault="007B6905" w:rsidP="007B6905">
      <w:pPr>
        <w:spacing w:line="480" w:lineRule="auto"/>
        <w:rPr>
          <w:rFonts w:ascii="Arial" w:hAnsi="Arial" w:cs="Arial"/>
          <w:szCs w:val="24"/>
        </w:rPr>
      </w:pPr>
      <w:r w:rsidRPr="00207397">
        <w:rPr>
          <w:rFonts w:ascii="Arial" w:hAnsi="Arial" w:cs="Arial"/>
          <w:szCs w:val="24"/>
        </w:rPr>
        <w:t>Email:  nick.lathangue@oncology.ox.ac.uk</w:t>
      </w:r>
    </w:p>
    <w:p w:rsidR="00943C3C" w:rsidRPr="00207397" w:rsidRDefault="00943C3C" w:rsidP="007B6905">
      <w:pPr>
        <w:spacing w:line="480" w:lineRule="auto"/>
        <w:rPr>
          <w:rFonts w:ascii="Arial" w:hAnsi="Arial" w:cs="Arial"/>
          <w:szCs w:val="24"/>
        </w:rPr>
      </w:pPr>
    </w:p>
    <w:p w:rsidR="00355362" w:rsidRPr="00207397" w:rsidRDefault="00355362" w:rsidP="00FC78B9">
      <w:pPr>
        <w:pStyle w:val="SMHeading"/>
        <w:spacing w:line="480" w:lineRule="auto"/>
        <w:rPr>
          <w:rFonts w:ascii="Arial" w:hAnsi="Arial" w:cs="Arial"/>
        </w:rPr>
      </w:pPr>
      <w:bookmarkStart w:id="1" w:name="Tables"/>
      <w:bookmarkStart w:id="2" w:name="MaterialsMethods"/>
      <w:bookmarkEnd w:id="1"/>
      <w:bookmarkEnd w:id="2"/>
    </w:p>
    <w:p w:rsidR="00CF16C9" w:rsidRPr="00207397" w:rsidRDefault="00CF16C9" w:rsidP="00FC78B9">
      <w:pPr>
        <w:pStyle w:val="SMHeading"/>
        <w:spacing w:line="480" w:lineRule="auto"/>
        <w:rPr>
          <w:rFonts w:ascii="Arial" w:hAnsi="Arial" w:cs="Arial"/>
        </w:rPr>
      </w:pPr>
    </w:p>
    <w:p w:rsidR="007B6905" w:rsidRPr="00207397" w:rsidRDefault="007B6905" w:rsidP="00FC78B9">
      <w:pPr>
        <w:pStyle w:val="SMHeading"/>
        <w:spacing w:line="480" w:lineRule="auto"/>
        <w:rPr>
          <w:rFonts w:ascii="Arial" w:hAnsi="Arial" w:cs="Arial"/>
        </w:rPr>
      </w:pPr>
    </w:p>
    <w:p w:rsidR="009A5287" w:rsidRPr="00207397" w:rsidRDefault="009A5287" w:rsidP="00FC78B9">
      <w:pPr>
        <w:pStyle w:val="SMText"/>
        <w:spacing w:line="480" w:lineRule="auto"/>
        <w:ind w:firstLine="0"/>
        <w:rPr>
          <w:rFonts w:ascii="Arial" w:hAnsi="Arial" w:cs="Arial"/>
          <w:szCs w:val="24"/>
        </w:rPr>
      </w:pPr>
    </w:p>
    <w:p w:rsidR="005E1B67" w:rsidRPr="00207397" w:rsidRDefault="005E1B67" w:rsidP="00FC78B9">
      <w:pPr>
        <w:pStyle w:val="SMcaption"/>
        <w:spacing w:line="480" w:lineRule="auto"/>
        <w:rPr>
          <w:rFonts w:ascii="Arial" w:hAnsi="Arial" w:cs="Arial"/>
          <w:szCs w:val="24"/>
        </w:rPr>
      </w:pPr>
    </w:p>
    <w:p w:rsidR="00AD51D5" w:rsidRPr="00207397" w:rsidRDefault="00AD51D5" w:rsidP="00FC78B9">
      <w:pPr>
        <w:pStyle w:val="SMHeading"/>
        <w:spacing w:line="480" w:lineRule="auto"/>
        <w:jc w:val="both"/>
        <w:rPr>
          <w:rFonts w:ascii="Arial" w:hAnsi="Arial" w:cs="Arial"/>
        </w:rPr>
      </w:pPr>
    </w:p>
    <w:p w:rsidR="007B6905" w:rsidRPr="00207397" w:rsidRDefault="007B6905" w:rsidP="00FC78B9">
      <w:pPr>
        <w:pStyle w:val="SMHeading"/>
        <w:spacing w:line="480" w:lineRule="auto"/>
        <w:jc w:val="both"/>
        <w:rPr>
          <w:rFonts w:ascii="Arial" w:hAnsi="Arial" w:cs="Arial"/>
        </w:rPr>
      </w:pPr>
    </w:p>
    <w:p w:rsidR="007B6905" w:rsidRPr="00207397" w:rsidRDefault="007B6905">
      <w:pPr>
        <w:rPr>
          <w:rFonts w:ascii="Arial" w:hAnsi="Arial" w:cs="Arial"/>
          <w:b/>
          <w:bCs/>
          <w:kern w:val="32"/>
          <w:szCs w:val="24"/>
        </w:rPr>
      </w:pPr>
      <w:r w:rsidRPr="00207397">
        <w:rPr>
          <w:rFonts w:ascii="Arial" w:hAnsi="Arial" w:cs="Arial"/>
        </w:rPr>
        <w:br w:type="page"/>
      </w:r>
    </w:p>
    <w:p w:rsidR="0087767E" w:rsidRPr="00207397" w:rsidRDefault="007411A1" w:rsidP="00DA09EA">
      <w:pPr>
        <w:pStyle w:val="SMHeading"/>
        <w:spacing w:line="480" w:lineRule="auto"/>
        <w:jc w:val="both"/>
        <w:rPr>
          <w:rFonts w:ascii="Arial" w:hAnsi="Arial" w:cs="Arial"/>
          <w:b w:val="0"/>
        </w:rPr>
      </w:pPr>
      <w:r w:rsidRPr="00207397">
        <w:rPr>
          <w:rFonts w:ascii="Arial" w:hAnsi="Arial" w:cs="Arial"/>
        </w:rPr>
        <w:lastRenderedPageBreak/>
        <w:t>Fig. S1.</w:t>
      </w:r>
      <w:r w:rsidR="00B42F9C" w:rsidRPr="00207397">
        <w:rPr>
          <w:rFonts w:ascii="Arial" w:hAnsi="Arial" w:cs="Arial"/>
        </w:rPr>
        <w:t xml:space="preserve"> </w:t>
      </w:r>
      <w:r w:rsidR="005E1B67" w:rsidRPr="00207397">
        <w:rPr>
          <w:rFonts w:ascii="Arial" w:hAnsi="Arial" w:cs="Arial"/>
        </w:rPr>
        <w:t>Effect of PRMT5 inhibition is influenced by E2F1 status</w:t>
      </w:r>
      <w:r w:rsidR="00544C33" w:rsidRPr="00207397">
        <w:rPr>
          <w:rFonts w:ascii="Arial" w:hAnsi="Arial" w:cs="Arial"/>
          <w:b w:val="0"/>
        </w:rPr>
        <w:t>.</w:t>
      </w:r>
      <w:r w:rsidR="005E1B67" w:rsidRPr="00207397">
        <w:rPr>
          <w:rFonts w:ascii="Arial" w:hAnsi="Arial" w:cs="Arial"/>
          <w:b w:val="0"/>
        </w:rPr>
        <w:t xml:space="preserve"> A) EC50 plots of recombinant PRMT5 enzyme activity tested in an in vitro assay after treatment with increasing concentrations of T1-44 (i) and its less active analogue T1-68 (ii), n = 3, B) IC50 plots from MTT assays performed after treating HCT116 cells for 6 days with increasing concentrations of T1-44 (i) and T1-68 (ii). C) A colony formation assay in HCT116 cells was performed for 8 days after treatment with increasing concentrations of T1-44 and T1-68 (T1-44 IC50 = 5.15 nM), D) An immunoblot demonstrating SDMe levels in HCT116 cells after 6 days of treatment with increasing concentrations of T1-44 (i) and T1-68 (ii); actin included as a loading control. E) sub-G1 fraction analysis of WT E2F1 p53+/+ (i) and WT E2F1 p53-/- (ii) HCT116 cells after 6 days of treatment with</w:t>
      </w:r>
      <w:r w:rsidR="00020F9A" w:rsidRPr="00207397">
        <w:rPr>
          <w:rFonts w:ascii="Arial" w:hAnsi="Arial" w:cs="Arial"/>
          <w:b w:val="0"/>
        </w:rPr>
        <w:t xml:space="preserve"> 1 </w:t>
      </w:r>
      <w:r w:rsidR="00144951" w:rsidRPr="00207397">
        <w:rPr>
          <w:rFonts w:ascii="Symbol" w:hAnsi="Symbol" w:cs="Arial"/>
          <w:b w:val="0"/>
        </w:rPr>
        <w:t></w:t>
      </w:r>
      <w:r w:rsidR="00020F9A" w:rsidRPr="00207397">
        <w:rPr>
          <w:rFonts w:ascii="Arial" w:hAnsi="Arial" w:cs="Arial"/>
          <w:b w:val="0"/>
        </w:rPr>
        <w:t>M</w:t>
      </w:r>
      <w:r w:rsidR="005E1B67" w:rsidRPr="00207397">
        <w:rPr>
          <w:rFonts w:ascii="Arial" w:hAnsi="Arial" w:cs="Arial"/>
          <w:b w:val="0"/>
        </w:rPr>
        <w:t xml:space="preserve"> T1-44 or T1-68, n = 3. F) Cell cycle analysis of WT E2F1 p53+/+ (i), WT E2F1 p53-/- (ii), E2F1 Cr p53+/+ (iii) and E2F1 Cr p53-/- (iv) HCT116 cells after 6 days of treatment with</w:t>
      </w:r>
      <w:r w:rsidR="00020F9A" w:rsidRPr="00207397">
        <w:rPr>
          <w:rFonts w:ascii="Arial" w:hAnsi="Arial" w:cs="Arial"/>
          <w:b w:val="0"/>
        </w:rPr>
        <w:t xml:space="preserve"> 1 </w:t>
      </w:r>
      <w:r w:rsidR="00144951" w:rsidRPr="00207397">
        <w:rPr>
          <w:rFonts w:ascii="Symbol" w:hAnsi="Symbol" w:cs="Arial"/>
          <w:b w:val="0"/>
        </w:rPr>
        <w:t></w:t>
      </w:r>
      <w:r w:rsidR="00020F9A" w:rsidRPr="00207397">
        <w:rPr>
          <w:rFonts w:ascii="Arial" w:hAnsi="Arial" w:cs="Arial"/>
          <w:b w:val="0"/>
        </w:rPr>
        <w:t>M</w:t>
      </w:r>
      <w:r w:rsidR="005E1B67" w:rsidRPr="00207397">
        <w:rPr>
          <w:rFonts w:ascii="Arial" w:hAnsi="Arial" w:cs="Arial"/>
          <w:b w:val="0"/>
        </w:rPr>
        <w:t xml:space="preserve"> T1-44 or T1-68, n = 3. G) Proliferation analysis of p53-/- WT E2F1 and p53-/- E2F1 Cr HCT116 cells, n = 3.</w:t>
      </w:r>
    </w:p>
    <w:p w:rsidR="0087767E" w:rsidRPr="00207397" w:rsidRDefault="0087767E" w:rsidP="00DA09EA">
      <w:pPr>
        <w:pStyle w:val="SMHeading"/>
        <w:spacing w:line="480" w:lineRule="auto"/>
        <w:jc w:val="both"/>
        <w:rPr>
          <w:rFonts w:ascii="Arial" w:hAnsi="Arial" w:cs="Arial"/>
          <w:b w:val="0"/>
        </w:rPr>
      </w:pPr>
    </w:p>
    <w:p w:rsidR="00DA09EA" w:rsidRPr="00207397" w:rsidRDefault="0087767E" w:rsidP="00DA09EA">
      <w:pPr>
        <w:pStyle w:val="SMHeading"/>
        <w:spacing w:line="480" w:lineRule="auto"/>
        <w:jc w:val="both"/>
        <w:rPr>
          <w:rFonts w:ascii="Arial" w:hAnsi="Arial" w:cs="Arial"/>
          <w:lang w:val="en-GB"/>
        </w:rPr>
      </w:pPr>
      <w:r w:rsidRPr="00207397">
        <w:rPr>
          <w:rFonts w:ascii="Arial" w:hAnsi="Arial" w:cs="Arial"/>
        </w:rPr>
        <w:t>Fig. S2</w:t>
      </w:r>
      <w:r w:rsidRPr="00207397">
        <w:rPr>
          <w:rFonts w:ascii="Arial" w:hAnsi="Arial" w:cs="Arial"/>
          <w:b w:val="0"/>
        </w:rPr>
        <w:t xml:space="preserve">. </w:t>
      </w:r>
      <w:r w:rsidRPr="00207397">
        <w:rPr>
          <w:rFonts w:ascii="Arial" w:hAnsi="Arial" w:cs="Arial"/>
        </w:rPr>
        <w:t>Effect of PRMT5 inhibition is influenced by E2F1 status</w:t>
      </w:r>
      <w:r w:rsidRPr="00207397">
        <w:rPr>
          <w:rFonts w:ascii="Arial" w:hAnsi="Arial" w:cs="Arial"/>
          <w:b w:val="0"/>
        </w:rPr>
        <w:t>. A</w:t>
      </w:r>
      <w:r w:rsidR="0057345C" w:rsidRPr="00207397">
        <w:rPr>
          <w:rFonts w:ascii="Arial" w:hAnsi="Arial" w:cs="Arial"/>
          <w:b w:val="0"/>
        </w:rPr>
        <w:t>) IC50 plots from MTT assays performed after treating HCT116 cells for 2 days with increasing concentrations of T1-44 (i) and T1-68 (ii).</w:t>
      </w:r>
      <w:r w:rsidR="0057345C" w:rsidRPr="00207397">
        <w:rPr>
          <w:rFonts w:ascii="Arial" w:hAnsi="Arial" w:cs="Arial"/>
          <w:lang w:val="en-GB"/>
        </w:rPr>
        <w:t xml:space="preserve"> </w:t>
      </w:r>
      <w:r w:rsidRPr="00207397">
        <w:rPr>
          <w:rFonts w:ascii="Arial" w:hAnsi="Arial" w:cs="Arial"/>
          <w:b w:val="0"/>
        </w:rPr>
        <w:t>B</w:t>
      </w:r>
      <w:r w:rsidR="00DA09EA" w:rsidRPr="00207397">
        <w:rPr>
          <w:rFonts w:ascii="Arial" w:hAnsi="Arial" w:cs="Arial"/>
          <w:b w:val="0"/>
        </w:rPr>
        <w:t>) A colony formation assay in MCF7</w:t>
      </w:r>
      <w:r w:rsidR="00F669B5" w:rsidRPr="00207397">
        <w:rPr>
          <w:rFonts w:ascii="Arial" w:hAnsi="Arial" w:cs="Arial"/>
          <w:b w:val="0"/>
        </w:rPr>
        <w:t xml:space="preserve"> (p53+/+)</w:t>
      </w:r>
      <w:r w:rsidR="00DA09EA" w:rsidRPr="00207397">
        <w:rPr>
          <w:rFonts w:ascii="Arial" w:hAnsi="Arial" w:cs="Arial"/>
          <w:b w:val="0"/>
        </w:rPr>
        <w:t xml:space="preserve"> cells was performed for 8 days after treatment with increasing concentrations of T1-44 (i); corresponding IC50 p</w:t>
      </w:r>
      <w:r w:rsidRPr="00207397">
        <w:rPr>
          <w:rFonts w:ascii="Arial" w:hAnsi="Arial" w:cs="Arial"/>
          <w:b w:val="0"/>
        </w:rPr>
        <w:t>lot is presented (ii). C</w:t>
      </w:r>
      <w:r w:rsidR="00DA09EA" w:rsidRPr="00207397">
        <w:rPr>
          <w:rFonts w:ascii="Arial" w:hAnsi="Arial" w:cs="Arial"/>
          <w:b w:val="0"/>
        </w:rPr>
        <w:t xml:space="preserve">) IC50 plot from MTT assays performed after treating MCF7 </w:t>
      </w:r>
      <w:r w:rsidR="00F669B5" w:rsidRPr="00207397">
        <w:rPr>
          <w:rFonts w:ascii="Arial" w:hAnsi="Arial" w:cs="Arial"/>
          <w:b w:val="0"/>
        </w:rPr>
        <w:t xml:space="preserve">(p53+/+) </w:t>
      </w:r>
      <w:r w:rsidR="00DA09EA" w:rsidRPr="00207397">
        <w:rPr>
          <w:rFonts w:ascii="Arial" w:hAnsi="Arial" w:cs="Arial"/>
          <w:b w:val="0"/>
        </w:rPr>
        <w:t>cells for 8 days with incre</w:t>
      </w:r>
      <w:r w:rsidRPr="00207397">
        <w:rPr>
          <w:rFonts w:ascii="Arial" w:hAnsi="Arial" w:cs="Arial"/>
          <w:b w:val="0"/>
        </w:rPr>
        <w:t>asing concentrations of T1-44. D</w:t>
      </w:r>
      <w:r w:rsidR="00DA09EA" w:rsidRPr="00207397">
        <w:rPr>
          <w:rFonts w:ascii="Arial" w:hAnsi="Arial" w:cs="Arial"/>
          <w:b w:val="0"/>
        </w:rPr>
        <w:t>) A colony formation assay in U2OS</w:t>
      </w:r>
      <w:r w:rsidR="00F669B5" w:rsidRPr="00207397">
        <w:rPr>
          <w:rFonts w:ascii="Arial" w:hAnsi="Arial" w:cs="Arial"/>
          <w:b w:val="0"/>
        </w:rPr>
        <w:t xml:space="preserve"> </w:t>
      </w:r>
      <w:r w:rsidR="00F669B5" w:rsidRPr="00207397">
        <w:rPr>
          <w:rFonts w:ascii="Arial" w:hAnsi="Arial" w:cs="Arial"/>
          <w:b w:val="0"/>
        </w:rPr>
        <w:lastRenderedPageBreak/>
        <w:t>(p53+/+)</w:t>
      </w:r>
      <w:r w:rsidR="00DA09EA" w:rsidRPr="00207397">
        <w:rPr>
          <w:rFonts w:ascii="Arial" w:hAnsi="Arial" w:cs="Arial"/>
          <w:b w:val="0"/>
        </w:rPr>
        <w:t xml:space="preserve"> cells was performed for 8 days after treatment with increasing concentrations of T1-44 (i); correspondin</w:t>
      </w:r>
      <w:r w:rsidRPr="00207397">
        <w:rPr>
          <w:rFonts w:ascii="Arial" w:hAnsi="Arial" w:cs="Arial"/>
          <w:b w:val="0"/>
        </w:rPr>
        <w:t>g IC50 plot is presented (ii). E</w:t>
      </w:r>
      <w:r w:rsidR="00DA09EA" w:rsidRPr="00207397">
        <w:rPr>
          <w:rFonts w:ascii="Arial" w:hAnsi="Arial" w:cs="Arial"/>
          <w:b w:val="0"/>
        </w:rPr>
        <w:t xml:space="preserve">) IC50 plots from MTT assays performed after treating U2OS </w:t>
      </w:r>
      <w:r w:rsidR="00F669B5" w:rsidRPr="00207397">
        <w:rPr>
          <w:rFonts w:ascii="Arial" w:hAnsi="Arial" w:cs="Arial"/>
          <w:b w:val="0"/>
        </w:rPr>
        <w:t xml:space="preserve">(p53+/+) </w:t>
      </w:r>
      <w:r w:rsidR="00DA09EA" w:rsidRPr="00207397">
        <w:rPr>
          <w:rFonts w:ascii="Arial" w:hAnsi="Arial" w:cs="Arial"/>
          <w:b w:val="0"/>
        </w:rPr>
        <w:t>cells for 8 days with incre</w:t>
      </w:r>
      <w:r w:rsidRPr="00207397">
        <w:rPr>
          <w:rFonts w:ascii="Arial" w:hAnsi="Arial" w:cs="Arial"/>
          <w:b w:val="0"/>
        </w:rPr>
        <w:t>asing concentrations of T1-44. F</w:t>
      </w:r>
      <w:r w:rsidR="00DA09EA" w:rsidRPr="00207397">
        <w:rPr>
          <w:rFonts w:ascii="Arial" w:hAnsi="Arial" w:cs="Arial"/>
          <w:b w:val="0"/>
        </w:rPr>
        <w:t>) An immunoblot demonstrating SDMe levels in T47D</w:t>
      </w:r>
      <w:r w:rsidR="00F669B5" w:rsidRPr="00207397">
        <w:rPr>
          <w:rFonts w:ascii="Arial" w:hAnsi="Arial" w:cs="Arial"/>
          <w:b w:val="0"/>
        </w:rPr>
        <w:t xml:space="preserve"> (p53-/-)</w:t>
      </w:r>
      <w:r w:rsidR="00DA09EA" w:rsidRPr="00207397">
        <w:rPr>
          <w:rFonts w:ascii="Arial" w:hAnsi="Arial" w:cs="Arial"/>
          <w:b w:val="0"/>
        </w:rPr>
        <w:t xml:space="preserve"> cells after 6 days of treatment with increasing concentrations of T1-44 (i) and T1-68 (ii); actin </w:t>
      </w:r>
      <w:r w:rsidRPr="00207397">
        <w:rPr>
          <w:rFonts w:ascii="Arial" w:hAnsi="Arial" w:cs="Arial"/>
          <w:b w:val="0"/>
        </w:rPr>
        <w:t>included as a loading control. G</w:t>
      </w:r>
      <w:r w:rsidR="00DA09EA" w:rsidRPr="00207397">
        <w:rPr>
          <w:rFonts w:ascii="Arial" w:hAnsi="Arial" w:cs="Arial"/>
          <w:b w:val="0"/>
        </w:rPr>
        <w:t xml:space="preserve">) IC50 plots from MTT assays performed after treating T47D </w:t>
      </w:r>
      <w:r w:rsidR="00F669B5" w:rsidRPr="00207397">
        <w:rPr>
          <w:rFonts w:ascii="Arial" w:hAnsi="Arial" w:cs="Arial"/>
          <w:b w:val="0"/>
        </w:rPr>
        <w:t xml:space="preserve">(p53-/-) </w:t>
      </w:r>
      <w:r w:rsidR="00DA09EA" w:rsidRPr="00207397">
        <w:rPr>
          <w:rFonts w:ascii="Arial" w:hAnsi="Arial" w:cs="Arial"/>
          <w:b w:val="0"/>
        </w:rPr>
        <w:t xml:space="preserve">cells for 8 days with increasing concentrations of T1-44 and T1-68. </w:t>
      </w:r>
    </w:p>
    <w:p w:rsidR="001F2932" w:rsidRPr="00207397" w:rsidRDefault="001F2932" w:rsidP="00FC78B9">
      <w:pPr>
        <w:pStyle w:val="SMHeading"/>
        <w:spacing w:line="480" w:lineRule="auto"/>
        <w:rPr>
          <w:rFonts w:ascii="Arial" w:hAnsi="Arial" w:cs="Arial"/>
        </w:rPr>
      </w:pPr>
    </w:p>
    <w:p w:rsidR="0060719C" w:rsidRPr="00207397" w:rsidRDefault="0087767E" w:rsidP="0057345C">
      <w:pPr>
        <w:pStyle w:val="SMHeading"/>
        <w:spacing w:line="480" w:lineRule="auto"/>
        <w:jc w:val="both"/>
        <w:rPr>
          <w:rFonts w:ascii="Arial" w:hAnsi="Arial" w:cs="Arial"/>
        </w:rPr>
      </w:pPr>
      <w:r w:rsidRPr="00207397">
        <w:rPr>
          <w:rFonts w:ascii="Arial" w:hAnsi="Arial" w:cs="Arial"/>
        </w:rPr>
        <w:t>Fig. S3</w:t>
      </w:r>
      <w:r w:rsidR="00B42F9C" w:rsidRPr="00207397">
        <w:rPr>
          <w:rFonts w:ascii="Arial" w:hAnsi="Arial" w:cs="Arial"/>
        </w:rPr>
        <w:t xml:space="preserve">. </w:t>
      </w:r>
      <w:r w:rsidR="005E1B67" w:rsidRPr="00207397">
        <w:rPr>
          <w:rFonts w:ascii="Arial" w:hAnsi="Arial" w:cs="Arial"/>
        </w:rPr>
        <w:t>Genome-wide effects of PRMT5 inhibition dependent on E2F1</w:t>
      </w:r>
      <w:r w:rsidR="005E1B67" w:rsidRPr="00207397">
        <w:rPr>
          <w:rFonts w:ascii="Arial" w:hAnsi="Arial" w:cs="Arial"/>
          <w:b w:val="0"/>
        </w:rPr>
        <w:t xml:space="preserve">. A) Venn diagrams showing the overlap of genes up- or down-regulated over 2-fold change (adjusted P value threshold &lt; 0.01) in each treatment condition with respect to DMSO treated p53-/- HCT116 cells, filtered for genes containing an E2F1 motif in their proximal promoter region (−900 to +100) based on ENCODE. The data were generated from three independent biological samples. (see also </w:t>
      </w:r>
      <w:r w:rsidR="006A149F" w:rsidRPr="00207397">
        <w:rPr>
          <w:rFonts w:ascii="Arial" w:hAnsi="Arial" w:cs="Arial"/>
          <w:b w:val="0"/>
        </w:rPr>
        <w:t>Datasets</w:t>
      </w:r>
      <w:r w:rsidR="002153BF" w:rsidRPr="00207397">
        <w:rPr>
          <w:rFonts w:ascii="Arial" w:hAnsi="Arial" w:cs="Arial"/>
          <w:b w:val="0"/>
        </w:rPr>
        <w:t xml:space="preserve"> S1-S3</w:t>
      </w:r>
      <w:r w:rsidR="005E1B67" w:rsidRPr="00207397">
        <w:rPr>
          <w:rFonts w:ascii="Arial" w:hAnsi="Arial" w:cs="Arial"/>
          <w:b w:val="0"/>
        </w:rPr>
        <w:t xml:space="preserve">). B) Heatmap of differentially expressed E2F1 target genes (adjusted P value ≤ 0.01, 2-fold change) in each treatment condition with respect to DMSO treated p53-/- HCT116 cells. 2LogFoldchange expression values were converted to the Z-score. Increased expression levels are indicated with darker red colouring, whilst decreased expression levels are indicated with darker blue colouring. Ivory colour represents no significant change (see also </w:t>
      </w:r>
      <w:r w:rsidR="006A149F" w:rsidRPr="00207397">
        <w:rPr>
          <w:rFonts w:ascii="Arial" w:hAnsi="Arial" w:cs="Arial"/>
          <w:b w:val="0"/>
        </w:rPr>
        <w:t>Datasets</w:t>
      </w:r>
      <w:r w:rsidR="005E1B67" w:rsidRPr="00207397">
        <w:rPr>
          <w:rFonts w:ascii="Arial" w:hAnsi="Arial" w:cs="Arial"/>
          <w:b w:val="0"/>
        </w:rPr>
        <w:t xml:space="preserve"> S</w:t>
      </w:r>
      <w:r w:rsidR="002153BF" w:rsidRPr="00207397">
        <w:rPr>
          <w:rFonts w:ascii="Arial" w:hAnsi="Arial" w:cs="Arial"/>
          <w:b w:val="0"/>
        </w:rPr>
        <w:t>1-S3</w:t>
      </w:r>
      <w:r w:rsidR="005E1B67" w:rsidRPr="00207397">
        <w:rPr>
          <w:rFonts w:ascii="Arial" w:hAnsi="Arial" w:cs="Arial"/>
          <w:b w:val="0"/>
        </w:rPr>
        <w:t xml:space="preserve">). C) Significantly over-represented KEGG pathways (i) and GO terms (ii) encompassing cellular components associated with significant differences in </w:t>
      </w:r>
      <w:r w:rsidR="005E1B67" w:rsidRPr="00207397">
        <w:rPr>
          <w:rFonts w:ascii="Arial" w:hAnsi="Arial" w:cs="Arial"/>
          <w:b w:val="0"/>
        </w:rPr>
        <w:lastRenderedPageBreak/>
        <w:t>expression upon T1-44 treatment (as compared to DMSO control) in p53-/- WT E2F1 HCT116 cells. Heatmaps show PGSEA statistic (Z-score) which characterize how much the mean of the fold-changes for genes in a certain pathway or gene set deviates from the mean observed in all the genes between T1-44 treatment and the control group. Blue indicates gene sets with decreased expression; while red corresponds to those with increased expression. The row labelled ‘GS’ displays the colour range corresponding to the minimum and maximum value of the statistic. D) As above, but KEGG pathways (i) and GO terms (ii) encompassing cellular components are associated with significant differences in expression upon E2F1 Cr knockdown.</w:t>
      </w:r>
    </w:p>
    <w:p w:rsidR="00425809" w:rsidRPr="00207397" w:rsidRDefault="00425809" w:rsidP="00FC78B9">
      <w:pPr>
        <w:pStyle w:val="SMHeading"/>
        <w:spacing w:line="480" w:lineRule="auto"/>
        <w:jc w:val="both"/>
        <w:rPr>
          <w:rFonts w:ascii="Arial" w:hAnsi="Arial" w:cs="Arial"/>
        </w:rPr>
      </w:pPr>
    </w:p>
    <w:p w:rsidR="0087767E" w:rsidRPr="00207397" w:rsidRDefault="0087767E" w:rsidP="00FC78B9">
      <w:pPr>
        <w:pStyle w:val="SMHeading"/>
        <w:spacing w:line="480" w:lineRule="auto"/>
        <w:jc w:val="both"/>
        <w:rPr>
          <w:rFonts w:ascii="Arial" w:hAnsi="Arial" w:cs="Arial"/>
          <w:b w:val="0"/>
        </w:rPr>
      </w:pPr>
      <w:r w:rsidRPr="00207397">
        <w:rPr>
          <w:rFonts w:ascii="Arial" w:hAnsi="Arial" w:cs="Arial"/>
        </w:rPr>
        <w:t>Fig. S4</w:t>
      </w:r>
      <w:r w:rsidR="005E1B67" w:rsidRPr="00207397">
        <w:rPr>
          <w:rFonts w:ascii="Arial" w:hAnsi="Arial" w:cs="Arial"/>
        </w:rPr>
        <w:t>.</w:t>
      </w:r>
      <w:r w:rsidR="005E1B67" w:rsidRPr="00207397">
        <w:t xml:space="preserve"> </w:t>
      </w:r>
      <w:r w:rsidR="005E1B67" w:rsidRPr="00207397">
        <w:rPr>
          <w:rFonts w:ascii="Arial" w:hAnsi="Arial" w:cs="Arial"/>
        </w:rPr>
        <w:t>Confirmation that focal adhesion-related genes are E2F1 targets</w:t>
      </w:r>
      <w:r w:rsidR="00544C33" w:rsidRPr="00207397">
        <w:rPr>
          <w:rFonts w:ascii="Arial" w:hAnsi="Arial" w:cs="Arial"/>
          <w:b w:val="0"/>
        </w:rPr>
        <w:t>.</w:t>
      </w:r>
      <w:r w:rsidR="003F6AD3" w:rsidRPr="00207397">
        <w:rPr>
          <w:rFonts w:ascii="Arial" w:hAnsi="Arial" w:cs="Arial"/>
          <w:b w:val="0"/>
        </w:rPr>
        <w:t xml:space="preserve"> </w:t>
      </w:r>
      <w:r w:rsidR="005E1B67" w:rsidRPr="00207397">
        <w:rPr>
          <w:rFonts w:ascii="Arial" w:hAnsi="Arial" w:cs="Arial"/>
          <w:b w:val="0"/>
        </w:rPr>
        <w:t>An E2F1 ChIP was performed in p53+/+ (i) and p53-/- (ii) WT E2F1 and E2F1 Cr HCT116 cell lines</w:t>
      </w:r>
      <w:r w:rsidR="00020F9A" w:rsidRPr="00207397">
        <w:rPr>
          <w:rFonts w:ascii="Arial" w:hAnsi="Arial" w:cs="Arial"/>
          <w:b w:val="0"/>
        </w:rPr>
        <w:t xml:space="preserve"> treated for 48h with 1 </w:t>
      </w:r>
      <w:r w:rsidR="00144951" w:rsidRPr="00207397">
        <w:rPr>
          <w:rFonts w:ascii="Symbol" w:hAnsi="Symbol" w:cs="Arial"/>
          <w:b w:val="0"/>
        </w:rPr>
        <w:t></w:t>
      </w:r>
      <w:r w:rsidR="00020F9A" w:rsidRPr="00207397">
        <w:rPr>
          <w:rFonts w:ascii="Arial" w:hAnsi="Arial" w:cs="Arial"/>
          <w:b w:val="0"/>
        </w:rPr>
        <w:t>M T1-44 or DMSO control</w:t>
      </w:r>
      <w:r w:rsidR="005E1B67" w:rsidRPr="00207397">
        <w:rPr>
          <w:rFonts w:ascii="Arial" w:hAnsi="Arial" w:cs="Arial"/>
          <w:b w:val="0"/>
        </w:rPr>
        <w:t xml:space="preserve">. Immunoprecipitated chromatin was analyzed using primers spanning the E2F DNA binding site in the CTTN promoter (marked in red) (iii), along with primers surrounding the known E2F motif in the promoter of CDC6. Primers recognising the actin gene were used as a negative control. An immunoblot is included to demonstrate input protein levels for E2F1, p53 and SDMe (iv); actin included </w:t>
      </w:r>
      <w:r w:rsidRPr="00207397">
        <w:rPr>
          <w:rFonts w:ascii="Arial" w:hAnsi="Arial" w:cs="Arial"/>
          <w:b w:val="0"/>
        </w:rPr>
        <w:t>as a loading control. n = 3.</w:t>
      </w:r>
    </w:p>
    <w:p w:rsidR="0087767E" w:rsidRPr="00207397" w:rsidRDefault="0087767E" w:rsidP="00FC78B9">
      <w:pPr>
        <w:pStyle w:val="SMHeading"/>
        <w:spacing w:line="480" w:lineRule="auto"/>
        <w:jc w:val="both"/>
        <w:rPr>
          <w:rFonts w:ascii="Arial" w:hAnsi="Arial" w:cs="Arial"/>
          <w:b w:val="0"/>
        </w:rPr>
      </w:pPr>
    </w:p>
    <w:p w:rsidR="00B70AF5" w:rsidRPr="00207397" w:rsidRDefault="0087767E" w:rsidP="008936FB">
      <w:pPr>
        <w:pStyle w:val="SMHeading"/>
        <w:spacing w:line="480" w:lineRule="auto"/>
        <w:jc w:val="both"/>
        <w:rPr>
          <w:rFonts w:ascii="Arial" w:hAnsi="Arial" w:cs="Arial"/>
        </w:rPr>
      </w:pPr>
      <w:r w:rsidRPr="00207397">
        <w:rPr>
          <w:rFonts w:ascii="Arial" w:hAnsi="Arial" w:cs="Arial"/>
        </w:rPr>
        <w:lastRenderedPageBreak/>
        <w:t>Fig. S5</w:t>
      </w:r>
      <w:r w:rsidR="004F3B73" w:rsidRPr="00207397">
        <w:rPr>
          <w:rFonts w:ascii="Arial" w:hAnsi="Arial" w:cs="Arial"/>
        </w:rPr>
        <w:t>.</w:t>
      </w:r>
      <w:r w:rsidRPr="00207397">
        <w:rPr>
          <w:rFonts w:ascii="Arial" w:hAnsi="Arial" w:cs="Arial"/>
          <w:b w:val="0"/>
        </w:rPr>
        <w:t xml:space="preserve"> </w:t>
      </w:r>
      <w:r w:rsidR="001315E9" w:rsidRPr="00207397">
        <w:rPr>
          <w:rFonts w:ascii="Arial" w:hAnsi="Arial" w:cs="Arial"/>
        </w:rPr>
        <w:t>Focal adhesion-related genes are potential E2F1 targets.</w:t>
      </w:r>
      <w:r w:rsidR="001315E9" w:rsidRPr="00207397">
        <w:rPr>
          <w:rFonts w:ascii="Arial" w:hAnsi="Arial" w:cs="Arial"/>
          <w:b w:val="0"/>
        </w:rPr>
        <w:t xml:space="preserve"> </w:t>
      </w:r>
      <w:r w:rsidR="005E1B67" w:rsidRPr="00207397">
        <w:rPr>
          <w:rFonts w:ascii="Arial" w:hAnsi="Arial" w:cs="Arial"/>
          <w:b w:val="0"/>
        </w:rPr>
        <w:t>Presentation of ENCODE ChIP-seq data for CTTN (i), FLII (ii), AIF1L (iii), and ITGA3 (iv) gene promoters performed using the Genome Browser bioinformatics webtool.</w:t>
      </w:r>
    </w:p>
    <w:p w:rsidR="00B70AF5" w:rsidRPr="00207397" w:rsidRDefault="00B70AF5" w:rsidP="008936FB">
      <w:pPr>
        <w:pStyle w:val="SMHeading"/>
        <w:spacing w:line="480" w:lineRule="auto"/>
        <w:jc w:val="both"/>
        <w:rPr>
          <w:rFonts w:ascii="Arial" w:hAnsi="Arial" w:cs="Arial"/>
        </w:rPr>
      </w:pPr>
    </w:p>
    <w:p w:rsidR="005E1B67" w:rsidRPr="00207397" w:rsidRDefault="0087767E" w:rsidP="008936FB">
      <w:pPr>
        <w:pStyle w:val="SMHeading"/>
        <w:spacing w:line="480" w:lineRule="auto"/>
        <w:jc w:val="both"/>
        <w:rPr>
          <w:rFonts w:ascii="Arial" w:hAnsi="Arial" w:cs="Arial"/>
          <w:b w:val="0"/>
        </w:rPr>
      </w:pPr>
      <w:r w:rsidRPr="00207397">
        <w:rPr>
          <w:rFonts w:ascii="Arial" w:hAnsi="Arial" w:cs="Arial"/>
        </w:rPr>
        <w:t>Fig. S6</w:t>
      </w:r>
      <w:r w:rsidR="005E1B67" w:rsidRPr="00207397">
        <w:rPr>
          <w:rFonts w:ascii="Arial" w:hAnsi="Arial" w:cs="Arial"/>
        </w:rPr>
        <w:t>. Cortactin regulates motility by the PRMT5-E2F1 axis control</w:t>
      </w:r>
      <w:r w:rsidR="005E1B67" w:rsidRPr="00207397">
        <w:rPr>
          <w:rFonts w:ascii="Arial" w:hAnsi="Arial" w:cs="Arial"/>
          <w:b w:val="0"/>
        </w:rPr>
        <w:t>. A) Migration assay performed in WT E2F1 p53+/+ HCT116 cells in the presence or absence of CTTN siRNA, after 2 days of treatment with 1 µM T1-44 or DMSO control</w:t>
      </w:r>
      <w:r w:rsidR="00B775B7" w:rsidRPr="00207397">
        <w:rPr>
          <w:rFonts w:ascii="Arial" w:hAnsi="Arial" w:cs="Arial"/>
          <w:b w:val="0"/>
        </w:rPr>
        <w:t xml:space="preserve">. </w:t>
      </w:r>
      <w:r w:rsidR="00492021" w:rsidRPr="00207397">
        <w:rPr>
          <w:rFonts w:ascii="Arial" w:hAnsi="Arial" w:cs="Arial"/>
          <w:b w:val="0"/>
        </w:rPr>
        <w:t>T</w:t>
      </w:r>
      <w:r w:rsidR="00B775B7" w:rsidRPr="00207397">
        <w:rPr>
          <w:rFonts w:ascii="Arial" w:hAnsi="Arial" w:cs="Arial"/>
          <w:b w:val="0"/>
        </w:rPr>
        <w:t>he rate of migration was determined by analysing the slope of the line between 20 and 40 hour intervals</w:t>
      </w:r>
      <w:r w:rsidR="00E35C33" w:rsidRPr="00207397">
        <w:rPr>
          <w:rFonts w:ascii="Arial" w:hAnsi="Arial" w:cs="Arial"/>
          <w:b w:val="0"/>
        </w:rPr>
        <w:t>, and is presented in the bar charts to the right</w:t>
      </w:r>
      <w:r w:rsidR="00B775B7" w:rsidRPr="00207397">
        <w:rPr>
          <w:rFonts w:ascii="Arial" w:hAnsi="Arial" w:cs="Arial"/>
          <w:b w:val="0"/>
        </w:rPr>
        <w:t>.</w:t>
      </w:r>
      <w:r w:rsidR="005E1B67" w:rsidRPr="00207397">
        <w:rPr>
          <w:rFonts w:ascii="Arial" w:hAnsi="Arial" w:cs="Arial"/>
          <w:b w:val="0"/>
        </w:rPr>
        <w:t xml:space="preserve"> n = 3. B) An invasion assay was performed under identical conditions as described above.</w:t>
      </w:r>
      <w:r w:rsidR="00B775B7" w:rsidRPr="00207397">
        <w:rPr>
          <w:rFonts w:ascii="Arial" w:hAnsi="Arial" w:cs="Arial"/>
          <w:b w:val="0"/>
        </w:rPr>
        <w:t xml:space="preserve"> </w:t>
      </w:r>
      <w:r w:rsidR="00E35C33" w:rsidRPr="00207397">
        <w:rPr>
          <w:rFonts w:ascii="Arial" w:hAnsi="Arial" w:cs="Arial"/>
          <w:b w:val="0"/>
        </w:rPr>
        <w:t>T</w:t>
      </w:r>
      <w:r w:rsidR="00B775B7" w:rsidRPr="00207397">
        <w:rPr>
          <w:rFonts w:ascii="Arial" w:hAnsi="Arial" w:cs="Arial"/>
          <w:b w:val="0"/>
        </w:rPr>
        <w:t xml:space="preserve">he rate of invasion was determined by analysing the slope of the line between </w:t>
      </w:r>
      <w:r w:rsidR="00144951" w:rsidRPr="00207397">
        <w:rPr>
          <w:rFonts w:ascii="Arial" w:hAnsi="Arial" w:cs="Arial"/>
          <w:b w:val="0"/>
          <w:lang w:val="en-GB"/>
        </w:rPr>
        <w:t>20</w:t>
      </w:r>
      <w:r w:rsidR="00B775B7" w:rsidRPr="00207397">
        <w:rPr>
          <w:rFonts w:ascii="Arial" w:hAnsi="Arial" w:cs="Arial"/>
          <w:b w:val="0"/>
        </w:rPr>
        <w:t xml:space="preserve"> and 40 hour intervals</w:t>
      </w:r>
      <w:r w:rsidR="00E35C33" w:rsidRPr="00207397">
        <w:rPr>
          <w:rFonts w:ascii="Arial" w:hAnsi="Arial" w:cs="Arial"/>
          <w:b w:val="0"/>
        </w:rPr>
        <w:t>, and is presented in the bar charts to the right</w:t>
      </w:r>
      <w:r w:rsidR="00B775B7" w:rsidRPr="00207397">
        <w:rPr>
          <w:rFonts w:ascii="Arial" w:hAnsi="Arial" w:cs="Arial"/>
          <w:b w:val="0"/>
        </w:rPr>
        <w:t>.</w:t>
      </w:r>
      <w:r w:rsidR="005E1B67" w:rsidRPr="00207397">
        <w:rPr>
          <w:rFonts w:ascii="Arial" w:hAnsi="Arial" w:cs="Arial"/>
          <w:b w:val="0"/>
        </w:rPr>
        <w:t xml:space="preserve"> n = 3; C) An adhesion assay was performed under identical conditions as described above.</w:t>
      </w:r>
      <w:r w:rsidR="00DB3050" w:rsidRPr="00207397">
        <w:rPr>
          <w:rFonts w:ascii="Arial" w:hAnsi="Arial" w:cs="Arial"/>
          <w:b w:val="0"/>
        </w:rPr>
        <w:t xml:space="preserve"> </w:t>
      </w:r>
      <w:r w:rsidR="00E35C33" w:rsidRPr="00207397">
        <w:rPr>
          <w:rFonts w:ascii="Arial" w:hAnsi="Arial" w:cs="Arial"/>
          <w:b w:val="0"/>
        </w:rPr>
        <w:t xml:space="preserve">The </w:t>
      </w:r>
      <w:r w:rsidR="00DB3050" w:rsidRPr="00207397">
        <w:rPr>
          <w:rFonts w:ascii="Arial" w:hAnsi="Arial" w:cs="Arial"/>
          <w:b w:val="0"/>
        </w:rPr>
        <w:t>rate of adhesion was determined by analysing the slope of the line between 0 and 0.5</w:t>
      </w:r>
      <w:r w:rsidR="0029369F" w:rsidRPr="00207397">
        <w:rPr>
          <w:rFonts w:ascii="Arial" w:hAnsi="Arial" w:cs="Arial"/>
          <w:b w:val="0"/>
        </w:rPr>
        <w:t xml:space="preserve"> hour</w:t>
      </w:r>
      <w:r w:rsidR="00DB3050" w:rsidRPr="00207397">
        <w:rPr>
          <w:rFonts w:ascii="Arial" w:hAnsi="Arial" w:cs="Arial"/>
          <w:b w:val="0"/>
        </w:rPr>
        <w:t xml:space="preserve"> intervals</w:t>
      </w:r>
      <w:r w:rsidR="00E35C33" w:rsidRPr="00207397">
        <w:rPr>
          <w:rFonts w:ascii="Arial" w:hAnsi="Arial" w:cs="Arial"/>
          <w:b w:val="0"/>
        </w:rPr>
        <w:t>, and is presented in the bar charts to the right</w:t>
      </w:r>
      <w:r w:rsidR="00DB3050" w:rsidRPr="00207397">
        <w:rPr>
          <w:rFonts w:ascii="Arial" w:hAnsi="Arial" w:cs="Arial"/>
          <w:b w:val="0"/>
        </w:rPr>
        <w:t xml:space="preserve">. </w:t>
      </w:r>
      <w:r w:rsidR="00CB0B4B" w:rsidRPr="00207397">
        <w:rPr>
          <w:rFonts w:ascii="Arial" w:hAnsi="Arial" w:cs="Arial"/>
          <w:b w:val="0"/>
        </w:rPr>
        <w:t xml:space="preserve"> </w:t>
      </w:r>
      <w:r w:rsidR="005E1B67" w:rsidRPr="00207397">
        <w:rPr>
          <w:rFonts w:ascii="Arial" w:hAnsi="Arial" w:cs="Arial"/>
          <w:b w:val="0"/>
        </w:rPr>
        <w:t>n = 3. D) An immunoblot demonstrating input protein levels for CTTN, p53 and SDMe for the experiments in A, B and C is displayed; actin included as a loading control.</w:t>
      </w:r>
    </w:p>
    <w:p w:rsidR="005E1B67" w:rsidRPr="00207397" w:rsidRDefault="005E1B67" w:rsidP="00FC78B9">
      <w:pPr>
        <w:pStyle w:val="SMHeading"/>
        <w:spacing w:line="480" w:lineRule="auto"/>
        <w:rPr>
          <w:rFonts w:ascii="Arial" w:hAnsi="Arial" w:cs="Arial"/>
        </w:rPr>
      </w:pPr>
    </w:p>
    <w:p w:rsidR="00AE595A" w:rsidRPr="00207397" w:rsidRDefault="0087767E" w:rsidP="00137330">
      <w:pPr>
        <w:pStyle w:val="SMHeading"/>
        <w:spacing w:line="480" w:lineRule="auto"/>
        <w:jc w:val="both"/>
        <w:rPr>
          <w:rFonts w:ascii="Arial" w:hAnsi="Arial" w:cs="Arial"/>
          <w:b w:val="0"/>
        </w:rPr>
      </w:pPr>
      <w:r w:rsidRPr="00207397">
        <w:rPr>
          <w:rFonts w:ascii="Arial" w:hAnsi="Arial" w:cs="Arial"/>
        </w:rPr>
        <w:t>Fig. S7</w:t>
      </w:r>
      <w:r w:rsidR="005E1B67" w:rsidRPr="00207397">
        <w:rPr>
          <w:rFonts w:ascii="Arial" w:hAnsi="Arial" w:cs="Arial"/>
        </w:rPr>
        <w:t>.</w:t>
      </w:r>
      <w:r w:rsidR="005E1B67" w:rsidRPr="00207397">
        <w:t xml:space="preserve"> </w:t>
      </w:r>
      <w:r w:rsidR="005E1B67" w:rsidRPr="00207397">
        <w:rPr>
          <w:rFonts w:ascii="Arial" w:hAnsi="Arial" w:cs="Arial"/>
        </w:rPr>
        <w:t>The PRMT5-E2F1 axis controls cell motility</w:t>
      </w:r>
      <w:r w:rsidR="005E1B67" w:rsidRPr="00207397">
        <w:rPr>
          <w:rFonts w:ascii="Arial" w:hAnsi="Arial" w:cs="Arial"/>
          <w:b w:val="0"/>
        </w:rPr>
        <w:t xml:space="preserve">. A) Migration assay performed in p53+/+ WT E2F1 and p53+/+ E2F1 Cr HCT116 cells after 2 days of </w:t>
      </w:r>
      <w:r w:rsidR="005E1B67" w:rsidRPr="00207397">
        <w:rPr>
          <w:rFonts w:ascii="Arial" w:hAnsi="Arial" w:cs="Arial"/>
          <w:b w:val="0"/>
        </w:rPr>
        <w:lastRenderedPageBreak/>
        <w:t>treatment with 1 µM T1-44 or DMSO control</w:t>
      </w:r>
      <w:r w:rsidR="0029369F" w:rsidRPr="00207397">
        <w:rPr>
          <w:rFonts w:ascii="Arial" w:hAnsi="Arial" w:cs="Arial"/>
          <w:b w:val="0"/>
        </w:rPr>
        <w:t xml:space="preserve">. </w:t>
      </w:r>
      <w:r w:rsidR="00BE29CC" w:rsidRPr="00207397">
        <w:rPr>
          <w:rFonts w:ascii="Arial" w:hAnsi="Arial" w:cs="Arial"/>
          <w:b w:val="0"/>
        </w:rPr>
        <w:t>T</w:t>
      </w:r>
      <w:r w:rsidR="0029369F" w:rsidRPr="00207397">
        <w:rPr>
          <w:rFonts w:ascii="Arial" w:hAnsi="Arial" w:cs="Arial"/>
          <w:b w:val="0"/>
        </w:rPr>
        <w:t>he rate of migration was determined by analysing the slope of the line between 30 and 40 hour intervals</w:t>
      </w:r>
      <w:r w:rsidR="00BE29CC" w:rsidRPr="00207397">
        <w:rPr>
          <w:rFonts w:ascii="Arial" w:hAnsi="Arial" w:cs="Arial"/>
          <w:b w:val="0"/>
        </w:rPr>
        <w:t>, and is presented in the bar charts to the right</w:t>
      </w:r>
      <w:r w:rsidR="0029369F" w:rsidRPr="00207397">
        <w:rPr>
          <w:rFonts w:ascii="Arial" w:hAnsi="Arial" w:cs="Arial"/>
          <w:b w:val="0"/>
        </w:rPr>
        <w:t>.</w:t>
      </w:r>
      <w:r w:rsidR="005E1B67" w:rsidRPr="00207397">
        <w:rPr>
          <w:rFonts w:ascii="Arial" w:hAnsi="Arial" w:cs="Arial"/>
          <w:b w:val="0"/>
        </w:rPr>
        <w:t xml:space="preserve"> n = 3. B) An invasion assay was performed under conditions identical to those described above.</w:t>
      </w:r>
      <w:r w:rsidR="0029369F" w:rsidRPr="00207397">
        <w:rPr>
          <w:rFonts w:ascii="Arial" w:hAnsi="Arial" w:cs="Arial"/>
          <w:b w:val="0"/>
        </w:rPr>
        <w:t xml:space="preserve"> </w:t>
      </w:r>
      <w:r w:rsidR="00BE29CC" w:rsidRPr="00207397">
        <w:rPr>
          <w:rFonts w:ascii="Arial" w:hAnsi="Arial" w:cs="Arial"/>
          <w:b w:val="0"/>
        </w:rPr>
        <w:t>T</w:t>
      </w:r>
      <w:r w:rsidR="0029369F" w:rsidRPr="00207397">
        <w:rPr>
          <w:rFonts w:ascii="Arial" w:hAnsi="Arial" w:cs="Arial"/>
          <w:b w:val="0"/>
        </w:rPr>
        <w:t>he rate of invasion was determined by analysing the slope of the line between 30 and 40 hour intervals</w:t>
      </w:r>
      <w:r w:rsidR="00BE29CC" w:rsidRPr="00207397">
        <w:rPr>
          <w:rFonts w:ascii="Arial" w:hAnsi="Arial" w:cs="Arial"/>
          <w:b w:val="0"/>
        </w:rPr>
        <w:t>, and is presented in the bar charts to the right</w:t>
      </w:r>
      <w:r w:rsidR="0029369F" w:rsidRPr="00207397">
        <w:rPr>
          <w:rFonts w:ascii="Arial" w:hAnsi="Arial" w:cs="Arial"/>
          <w:b w:val="0"/>
        </w:rPr>
        <w:t>.</w:t>
      </w:r>
      <w:r w:rsidR="005E1B67" w:rsidRPr="00207397">
        <w:rPr>
          <w:rFonts w:ascii="Arial" w:hAnsi="Arial" w:cs="Arial"/>
          <w:b w:val="0"/>
        </w:rPr>
        <w:t xml:space="preserve"> n = 3. C) An adhesion assay was performed under conditions identical to those described above.</w:t>
      </w:r>
      <w:r w:rsidR="0029369F" w:rsidRPr="00207397">
        <w:rPr>
          <w:rFonts w:ascii="Arial" w:hAnsi="Arial" w:cs="Arial"/>
          <w:b w:val="0"/>
        </w:rPr>
        <w:t xml:space="preserve"> </w:t>
      </w:r>
      <w:r w:rsidR="00BE29CC" w:rsidRPr="00207397">
        <w:rPr>
          <w:rFonts w:ascii="Arial" w:hAnsi="Arial" w:cs="Arial"/>
          <w:b w:val="0"/>
        </w:rPr>
        <w:t>T</w:t>
      </w:r>
      <w:r w:rsidR="00144951" w:rsidRPr="00207397">
        <w:rPr>
          <w:rFonts w:ascii="Arial" w:hAnsi="Arial" w:cs="Arial"/>
          <w:b w:val="0"/>
        </w:rPr>
        <w:t>he rate of adhesion was determined by analysing the slope of the line between 0 and 0.5</w:t>
      </w:r>
      <w:r w:rsidR="0029369F" w:rsidRPr="00207397">
        <w:rPr>
          <w:rFonts w:ascii="Arial" w:hAnsi="Arial" w:cs="Arial"/>
          <w:b w:val="0"/>
        </w:rPr>
        <w:t xml:space="preserve"> hour</w:t>
      </w:r>
      <w:r w:rsidR="00144951" w:rsidRPr="00207397">
        <w:rPr>
          <w:rFonts w:ascii="Arial" w:hAnsi="Arial" w:cs="Arial"/>
          <w:b w:val="0"/>
        </w:rPr>
        <w:t xml:space="preserve"> intervals</w:t>
      </w:r>
      <w:r w:rsidR="00BE29CC" w:rsidRPr="00207397">
        <w:rPr>
          <w:rFonts w:ascii="Arial" w:hAnsi="Arial" w:cs="Arial"/>
          <w:b w:val="0"/>
        </w:rPr>
        <w:t>, and is presented in the bar charts to the right</w:t>
      </w:r>
      <w:r w:rsidR="00144951" w:rsidRPr="00207397">
        <w:rPr>
          <w:rFonts w:ascii="Arial" w:hAnsi="Arial" w:cs="Arial"/>
          <w:b w:val="0"/>
        </w:rPr>
        <w:t>.</w:t>
      </w:r>
      <w:r w:rsidR="00CB0B4B" w:rsidRPr="00207397">
        <w:rPr>
          <w:rFonts w:ascii="Arial" w:hAnsi="Arial" w:cs="Arial"/>
          <w:b w:val="0"/>
        </w:rPr>
        <w:t xml:space="preserve"> </w:t>
      </w:r>
      <w:r w:rsidR="005E1B67" w:rsidRPr="00207397">
        <w:rPr>
          <w:rFonts w:ascii="Arial" w:hAnsi="Arial" w:cs="Arial"/>
          <w:b w:val="0"/>
        </w:rPr>
        <w:t>n = 3. D) An immunoblot demonstrating input protein levels for E2F1, p53 and SDMe for the experiments in A, B, and C is displayed; actin included as a loading control E) Adhesion assay performed in p53+/+ WT E2F1 and p53+/+ E2F1 Cr HCT116 cells in the presence of CTTN siRNA</w:t>
      </w:r>
      <w:r w:rsidR="00CB0B4B" w:rsidRPr="00207397">
        <w:rPr>
          <w:rFonts w:ascii="Arial" w:hAnsi="Arial" w:cs="Arial"/>
          <w:b w:val="0"/>
        </w:rPr>
        <w:t>.</w:t>
      </w:r>
      <w:r w:rsidR="00863C7E" w:rsidRPr="00207397">
        <w:rPr>
          <w:rFonts w:ascii="Arial" w:hAnsi="Arial" w:cs="Arial"/>
          <w:b w:val="0"/>
        </w:rPr>
        <w:t xml:space="preserve"> </w:t>
      </w:r>
      <w:r w:rsidR="00BE29CC" w:rsidRPr="00207397">
        <w:rPr>
          <w:rFonts w:ascii="Arial" w:hAnsi="Arial" w:cs="Arial"/>
          <w:b w:val="0"/>
        </w:rPr>
        <w:t>T</w:t>
      </w:r>
      <w:r w:rsidR="0020678E" w:rsidRPr="00207397">
        <w:rPr>
          <w:rFonts w:ascii="Arial" w:hAnsi="Arial" w:cs="Arial"/>
          <w:b w:val="0"/>
        </w:rPr>
        <w:t>he rate of adhesion was determined by analysing the slope of the line between 0 and 0.5</w:t>
      </w:r>
      <w:r w:rsidR="0029369F" w:rsidRPr="00207397">
        <w:rPr>
          <w:rFonts w:ascii="Arial" w:hAnsi="Arial" w:cs="Arial"/>
          <w:b w:val="0"/>
        </w:rPr>
        <w:t xml:space="preserve"> hour</w:t>
      </w:r>
      <w:r w:rsidR="0020678E" w:rsidRPr="00207397">
        <w:rPr>
          <w:rFonts w:ascii="Arial" w:hAnsi="Arial" w:cs="Arial"/>
          <w:b w:val="0"/>
        </w:rPr>
        <w:t xml:space="preserve"> intervals</w:t>
      </w:r>
      <w:r w:rsidR="00BE29CC" w:rsidRPr="00207397">
        <w:rPr>
          <w:rFonts w:ascii="Arial" w:hAnsi="Arial" w:cs="Arial"/>
          <w:b w:val="0"/>
        </w:rPr>
        <w:t>, and is presented in the bar charts to the right</w:t>
      </w:r>
      <w:r w:rsidR="0020678E" w:rsidRPr="00207397">
        <w:rPr>
          <w:rFonts w:ascii="Arial" w:hAnsi="Arial" w:cs="Arial"/>
          <w:b w:val="0"/>
        </w:rPr>
        <w:t xml:space="preserve">. </w:t>
      </w:r>
      <w:r w:rsidR="005E1B67" w:rsidRPr="00207397">
        <w:rPr>
          <w:rFonts w:ascii="Arial" w:hAnsi="Arial" w:cs="Arial"/>
          <w:b w:val="0"/>
        </w:rPr>
        <w:t>n = 3. F) Immunoblot displaying input protein levels for CTTN, E2F1 and p53 for the experiment in E is presented; actin included as a loading control.</w:t>
      </w:r>
    </w:p>
    <w:p w:rsidR="00B33C7F" w:rsidRPr="00207397" w:rsidRDefault="00B33C7F" w:rsidP="00137330">
      <w:pPr>
        <w:pStyle w:val="SMHeading"/>
        <w:spacing w:line="480" w:lineRule="auto"/>
        <w:jc w:val="both"/>
        <w:rPr>
          <w:rFonts w:ascii="Arial" w:hAnsi="Arial" w:cs="Arial"/>
          <w:b w:val="0"/>
        </w:rPr>
      </w:pPr>
    </w:p>
    <w:p w:rsidR="00B33C7F" w:rsidRPr="00207397" w:rsidRDefault="00B33C7F" w:rsidP="00B33C7F">
      <w:pPr>
        <w:pStyle w:val="SMHeading"/>
        <w:spacing w:line="480" w:lineRule="auto"/>
        <w:jc w:val="both"/>
        <w:rPr>
          <w:rFonts w:ascii="Arial" w:hAnsi="Arial" w:cs="Arial"/>
        </w:rPr>
      </w:pPr>
      <w:r w:rsidRPr="00207397">
        <w:rPr>
          <w:rFonts w:ascii="Arial" w:hAnsi="Arial" w:cs="Arial"/>
        </w:rPr>
        <w:t xml:space="preserve">Table S1. </w:t>
      </w:r>
      <w:r w:rsidRPr="00207397">
        <w:rPr>
          <w:rFonts w:ascii="Arial" w:hAnsi="Arial" w:cs="Arial"/>
          <w:b w:val="0"/>
        </w:rPr>
        <w:t>Additional information about use compounds: T1-44 and T1-68.</w:t>
      </w:r>
    </w:p>
    <w:bookmarkEnd w:id="0"/>
    <w:p w:rsidR="00B33C7F" w:rsidRPr="00207397" w:rsidRDefault="00B33C7F" w:rsidP="00137330">
      <w:pPr>
        <w:pStyle w:val="SMHeading"/>
        <w:spacing w:line="480" w:lineRule="auto"/>
        <w:jc w:val="both"/>
        <w:rPr>
          <w:rFonts w:ascii="Arial" w:hAnsi="Arial" w:cs="Arial"/>
          <w:b w:val="0"/>
        </w:rPr>
      </w:pPr>
    </w:p>
    <w:sectPr w:rsidR="00B33C7F" w:rsidRPr="00207397" w:rsidSect="007B6905">
      <w:headerReference w:type="default" r:id="rId7"/>
      <w:footerReference w:type="default" r:id="rId8"/>
      <w:pgSz w:w="12240" w:h="15840"/>
      <w:pgMar w:top="1418" w:right="1800" w:bottom="993" w:left="1800" w:header="720" w:footer="720" w:gutter="0"/>
      <w:pgNumType w:start="1"/>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627CD4" w16cex:dateUtc="2020-05-10T12: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9C056D3" w16cid:durableId="22627CD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0816" w:rsidRDefault="00390816">
      <w:r>
        <w:separator/>
      </w:r>
    </w:p>
  </w:endnote>
  <w:endnote w:type="continuationSeparator" w:id="0">
    <w:p w:rsidR="00390816" w:rsidRDefault="00390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25EE" w:rsidRDefault="00726D13">
    <w:pPr>
      <w:pStyle w:val="Footer"/>
      <w:jc w:val="right"/>
    </w:pPr>
    <w:r>
      <w:fldChar w:fldCharType="begin"/>
    </w:r>
    <w:r w:rsidR="00114193">
      <w:instrText xml:space="preserve"> PAGE   \* MERGEFORMAT </w:instrText>
    </w:r>
    <w:r>
      <w:fldChar w:fldCharType="separate"/>
    </w:r>
    <w:r w:rsidR="00207397">
      <w:rPr>
        <w:noProof/>
      </w:rPr>
      <w:t>6</w:t>
    </w:r>
    <w:r>
      <w:fldChar w:fldCharType="end"/>
    </w:r>
  </w:p>
  <w:p w:rsidR="00F125EE" w:rsidRDefault="00F12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0816" w:rsidRDefault="00390816">
      <w:r>
        <w:separator/>
      </w:r>
    </w:p>
  </w:footnote>
  <w:footnote w:type="continuationSeparator" w:id="0">
    <w:p w:rsidR="00390816" w:rsidRDefault="003908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D8" w:rsidRPr="005001AC" w:rsidRDefault="003A2FD8" w:rsidP="005001AC">
    <w:pPr>
      <w:jc w:val="right"/>
      <w:rPr>
        <w:sz w:val="20"/>
      </w:rPr>
    </w:pPr>
  </w:p>
  <w:p w:rsidR="003A2FD8" w:rsidRDefault="003A2FD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10F80"/>
    <w:multiLevelType w:val="hybridMultilevel"/>
    <w:tmpl w:val="C220C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4116D9"/>
    <w:multiLevelType w:val="hybridMultilevel"/>
    <w:tmpl w:val="B2641BF4"/>
    <w:lvl w:ilvl="0" w:tplc="CC0EBB4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3F8D4926"/>
    <w:multiLevelType w:val="hybridMultilevel"/>
    <w:tmpl w:val="180283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C030F"/>
    <w:rsid w:val="000004B2"/>
    <w:rsid w:val="00015F74"/>
    <w:rsid w:val="00017C53"/>
    <w:rsid w:val="00020F9A"/>
    <w:rsid w:val="00030840"/>
    <w:rsid w:val="00060225"/>
    <w:rsid w:val="00065EBD"/>
    <w:rsid w:val="00083B44"/>
    <w:rsid w:val="000850DC"/>
    <w:rsid w:val="000B1689"/>
    <w:rsid w:val="000C2771"/>
    <w:rsid w:val="000D31C6"/>
    <w:rsid w:val="000F0DCE"/>
    <w:rsid w:val="00102AF2"/>
    <w:rsid w:val="00112C5B"/>
    <w:rsid w:val="0011325F"/>
    <w:rsid w:val="00114193"/>
    <w:rsid w:val="00115A38"/>
    <w:rsid w:val="0011687B"/>
    <w:rsid w:val="00124F82"/>
    <w:rsid w:val="001315E9"/>
    <w:rsid w:val="00137330"/>
    <w:rsid w:val="00144951"/>
    <w:rsid w:val="00162193"/>
    <w:rsid w:val="0016337A"/>
    <w:rsid w:val="00164269"/>
    <w:rsid w:val="001A1BDE"/>
    <w:rsid w:val="001C0520"/>
    <w:rsid w:val="001C0975"/>
    <w:rsid w:val="001D19BA"/>
    <w:rsid w:val="001F0876"/>
    <w:rsid w:val="001F167C"/>
    <w:rsid w:val="001F2932"/>
    <w:rsid w:val="001F5E91"/>
    <w:rsid w:val="0020678E"/>
    <w:rsid w:val="00207397"/>
    <w:rsid w:val="002077B9"/>
    <w:rsid w:val="002153BF"/>
    <w:rsid w:val="002244DC"/>
    <w:rsid w:val="00262D72"/>
    <w:rsid w:val="00267519"/>
    <w:rsid w:val="0029369F"/>
    <w:rsid w:val="00294FBB"/>
    <w:rsid w:val="002C030F"/>
    <w:rsid w:val="002C667A"/>
    <w:rsid w:val="002D38F7"/>
    <w:rsid w:val="00314DDF"/>
    <w:rsid w:val="00325D90"/>
    <w:rsid w:val="00331D75"/>
    <w:rsid w:val="0034437D"/>
    <w:rsid w:val="00355362"/>
    <w:rsid w:val="00363E44"/>
    <w:rsid w:val="00387114"/>
    <w:rsid w:val="00390816"/>
    <w:rsid w:val="00395E86"/>
    <w:rsid w:val="00397983"/>
    <w:rsid w:val="003A2FD8"/>
    <w:rsid w:val="003A67D4"/>
    <w:rsid w:val="003B40E6"/>
    <w:rsid w:val="003F6AD3"/>
    <w:rsid w:val="003F6E14"/>
    <w:rsid w:val="00405336"/>
    <w:rsid w:val="00425809"/>
    <w:rsid w:val="004571D5"/>
    <w:rsid w:val="00461D81"/>
    <w:rsid w:val="0046356B"/>
    <w:rsid w:val="00477182"/>
    <w:rsid w:val="004779CB"/>
    <w:rsid w:val="00492021"/>
    <w:rsid w:val="004A159F"/>
    <w:rsid w:val="004A3EAF"/>
    <w:rsid w:val="004B2F21"/>
    <w:rsid w:val="004B5607"/>
    <w:rsid w:val="004E42D8"/>
    <w:rsid w:val="004E7BA2"/>
    <w:rsid w:val="004F3B73"/>
    <w:rsid w:val="004F7EDF"/>
    <w:rsid w:val="005001AC"/>
    <w:rsid w:val="00525B92"/>
    <w:rsid w:val="00527D71"/>
    <w:rsid w:val="0053475D"/>
    <w:rsid w:val="00544C33"/>
    <w:rsid w:val="005607DD"/>
    <w:rsid w:val="0057345C"/>
    <w:rsid w:val="005A558C"/>
    <w:rsid w:val="005D088E"/>
    <w:rsid w:val="005E1B67"/>
    <w:rsid w:val="005E28F8"/>
    <w:rsid w:val="005E6513"/>
    <w:rsid w:val="005F591C"/>
    <w:rsid w:val="006069C6"/>
    <w:rsid w:val="0060719C"/>
    <w:rsid w:val="00611A19"/>
    <w:rsid w:val="006140DF"/>
    <w:rsid w:val="00624172"/>
    <w:rsid w:val="0063297D"/>
    <w:rsid w:val="00651114"/>
    <w:rsid w:val="0065772A"/>
    <w:rsid w:val="00660935"/>
    <w:rsid w:val="00663229"/>
    <w:rsid w:val="00670299"/>
    <w:rsid w:val="00691985"/>
    <w:rsid w:val="006A149F"/>
    <w:rsid w:val="006A1B64"/>
    <w:rsid w:val="006D169A"/>
    <w:rsid w:val="006D4927"/>
    <w:rsid w:val="006E0CC0"/>
    <w:rsid w:val="006E3E68"/>
    <w:rsid w:val="007108F5"/>
    <w:rsid w:val="00713E5B"/>
    <w:rsid w:val="00726D13"/>
    <w:rsid w:val="00734318"/>
    <w:rsid w:val="00735317"/>
    <w:rsid w:val="007402FC"/>
    <w:rsid w:val="007411A1"/>
    <w:rsid w:val="00797F24"/>
    <w:rsid w:val="007B5946"/>
    <w:rsid w:val="007B6905"/>
    <w:rsid w:val="007C594F"/>
    <w:rsid w:val="007D7011"/>
    <w:rsid w:val="007F5297"/>
    <w:rsid w:val="00807D35"/>
    <w:rsid w:val="00820484"/>
    <w:rsid w:val="00824DF3"/>
    <w:rsid w:val="00840BB2"/>
    <w:rsid w:val="00843B8E"/>
    <w:rsid w:val="00863C7E"/>
    <w:rsid w:val="0087767E"/>
    <w:rsid w:val="00885C9B"/>
    <w:rsid w:val="008936FB"/>
    <w:rsid w:val="008C2381"/>
    <w:rsid w:val="008D5D2A"/>
    <w:rsid w:val="00911D1D"/>
    <w:rsid w:val="00914B63"/>
    <w:rsid w:val="0092223D"/>
    <w:rsid w:val="009258B8"/>
    <w:rsid w:val="009354F3"/>
    <w:rsid w:val="00943C3C"/>
    <w:rsid w:val="009447DC"/>
    <w:rsid w:val="00951CDB"/>
    <w:rsid w:val="00961BA5"/>
    <w:rsid w:val="009645C3"/>
    <w:rsid w:val="009743A9"/>
    <w:rsid w:val="009A5287"/>
    <w:rsid w:val="009A670E"/>
    <w:rsid w:val="009B2AC5"/>
    <w:rsid w:val="009B7984"/>
    <w:rsid w:val="009F4BED"/>
    <w:rsid w:val="009F7D93"/>
    <w:rsid w:val="00A07DF0"/>
    <w:rsid w:val="00A101F0"/>
    <w:rsid w:val="00A3403B"/>
    <w:rsid w:val="00A51A12"/>
    <w:rsid w:val="00A627D4"/>
    <w:rsid w:val="00A62F58"/>
    <w:rsid w:val="00A672EB"/>
    <w:rsid w:val="00A67852"/>
    <w:rsid w:val="00A72B81"/>
    <w:rsid w:val="00A74DA2"/>
    <w:rsid w:val="00AA6007"/>
    <w:rsid w:val="00AB4A1A"/>
    <w:rsid w:val="00AC15B4"/>
    <w:rsid w:val="00AC3DF4"/>
    <w:rsid w:val="00AD499C"/>
    <w:rsid w:val="00AD51D5"/>
    <w:rsid w:val="00AE595A"/>
    <w:rsid w:val="00AE6EFD"/>
    <w:rsid w:val="00B131C1"/>
    <w:rsid w:val="00B15008"/>
    <w:rsid w:val="00B20632"/>
    <w:rsid w:val="00B33C7F"/>
    <w:rsid w:val="00B36869"/>
    <w:rsid w:val="00B42F9C"/>
    <w:rsid w:val="00B43B31"/>
    <w:rsid w:val="00B47CFA"/>
    <w:rsid w:val="00B5725D"/>
    <w:rsid w:val="00B57F00"/>
    <w:rsid w:val="00B70AF5"/>
    <w:rsid w:val="00B775B7"/>
    <w:rsid w:val="00B77B2A"/>
    <w:rsid w:val="00B82C22"/>
    <w:rsid w:val="00B8723B"/>
    <w:rsid w:val="00B93DBA"/>
    <w:rsid w:val="00B9440A"/>
    <w:rsid w:val="00BA26CF"/>
    <w:rsid w:val="00BB2D2A"/>
    <w:rsid w:val="00BD58CF"/>
    <w:rsid w:val="00BE29CC"/>
    <w:rsid w:val="00C046DC"/>
    <w:rsid w:val="00C04CC1"/>
    <w:rsid w:val="00C21042"/>
    <w:rsid w:val="00C50C6D"/>
    <w:rsid w:val="00C600D9"/>
    <w:rsid w:val="00CB0B4B"/>
    <w:rsid w:val="00CC1384"/>
    <w:rsid w:val="00CC52C8"/>
    <w:rsid w:val="00CD3720"/>
    <w:rsid w:val="00CF05CD"/>
    <w:rsid w:val="00CF16C9"/>
    <w:rsid w:val="00CF1848"/>
    <w:rsid w:val="00CF5C2F"/>
    <w:rsid w:val="00D04BCF"/>
    <w:rsid w:val="00D143D9"/>
    <w:rsid w:val="00D269AB"/>
    <w:rsid w:val="00D346C2"/>
    <w:rsid w:val="00D53003"/>
    <w:rsid w:val="00DA09EA"/>
    <w:rsid w:val="00DA59EA"/>
    <w:rsid w:val="00DB3050"/>
    <w:rsid w:val="00DC71E7"/>
    <w:rsid w:val="00DD421A"/>
    <w:rsid w:val="00DD4C15"/>
    <w:rsid w:val="00E01126"/>
    <w:rsid w:val="00E257C8"/>
    <w:rsid w:val="00E269B5"/>
    <w:rsid w:val="00E35C33"/>
    <w:rsid w:val="00E37047"/>
    <w:rsid w:val="00E5140F"/>
    <w:rsid w:val="00E60D0F"/>
    <w:rsid w:val="00E67A29"/>
    <w:rsid w:val="00E9773B"/>
    <w:rsid w:val="00EA596B"/>
    <w:rsid w:val="00EC13A3"/>
    <w:rsid w:val="00EC7C85"/>
    <w:rsid w:val="00F125EE"/>
    <w:rsid w:val="00F12E98"/>
    <w:rsid w:val="00F22029"/>
    <w:rsid w:val="00F514EC"/>
    <w:rsid w:val="00F6238D"/>
    <w:rsid w:val="00F630EA"/>
    <w:rsid w:val="00F669B5"/>
    <w:rsid w:val="00F7007E"/>
    <w:rsid w:val="00F70200"/>
    <w:rsid w:val="00F73193"/>
    <w:rsid w:val="00F74F95"/>
    <w:rsid w:val="00F80705"/>
    <w:rsid w:val="00FA1481"/>
    <w:rsid w:val="00FA5206"/>
    <w:rsid w:val="00FC78B9"/>
    <w:rsid w:val="00FD4A14"/>
    <w:rsid w:val="00FF04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F4C827AA-C01A-46BC-AF36-1E191333C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30EA"/>
    <w:rPr>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basedOn w:val="DefaultParagraphFont"/>
    <w:link w:val="Heading1"/>
    <w:semiHidden/>
    <w:rsid w:val="00FF04E3"/>
    <w:rPr>
      <w:b/>
      <w:bCs/>
      <w:kern w:val="32"/>
      <w:sz w:val="24"/>
      <w:szCs w:val="24"/>
    </w:rPr>
  </w:style>
  <w:style w:type="character" w:customStyle="1" w:styleId="Heading2Char">
    <w:name w:val="Heading 2 Char"/>
    <w:basedOn w:val="DefaultParagraphFont"/>
    <w:link w:val="Heading2"/>
    <w:semiHidden/>
    <w:rsid w:val="00FF04E3"/>
    <w:rPr>
      <w:rFonts w:ascii="Cambria" w:hAnsi="Cambria"/>
      <w:b/>
      <w:bCs/>
      <w:i/>
      <w:iCs/>
      <w:sz w:val="28"/>
      <w:szCs w:val="28"/>
    </w:rPr>
  </w:style>
  <w:style w:type="character" w:customStyle="1" w:styleId="Heading5Char">
    <w:name w:val="Heading 5 Char"/>
    <w:basedOn w:val="DefaultParagraphFont"/>
    <w:link w:val="Heading5"/>
    <w:semiHidden/>
    <w:rsid w:val="00FF04E3"/>
    <w:rPr>
      <w:rFonts w:ascii="Calibri" w:hAnsi="Calibri"/>
      <w:b/>
      <w:bCs/>
      <w:i/>
      <w:iCs/>
      <w:sz w:val="26"/>
      <w:szCs w:val="26"/>
    </w:rPr>
  </w:style>
  <w:style w:type="character" w:customStyle="1" w:styleId="Heading6Char">
    <w:name w:val="Heading 6 Char"/>
    <w:basedOn w:val="DefaultParagraphFont"/>
    <w:link w:val="Heading6"/>
    <w:semiHidden/>
    <w:rsid w:val="00FF04E3"/>
    <w:rPr>
      <w:rFonts w:ascii="Calibri" w:hAnsi="Calibri"/>
      <w:b/>
      <w:bCs/>
      <w:sz w:val="22"/>
      <w:szCs w:val="22"/>
    </w:rPr>
  </w:style>
  <w:style w:type="character" w:customStyle="1" w:styleId="Heading7Char">
    <w:name w:val="Heading 7 Char"/>
    <w:basedOn w:val="DefaultParagraphFont"/>
    <w:link w:val="Heading7"/>
    <w:semiHidden/>
    <w:rsid w:val="00FF04E3"/>
    <w:rPr>
      <w:rFonts w:ascii="Calibri" w:hAnsi="Calibri"/>
      <w:sz w:val="24"/>
      <w:szCs w:val="24"/>
    </w:rPr>
  </w:style>
  <w:style w:type="character" w:customStyle="1" w:styleId="Heading8Char">
    <w:name w:val="Heading 8 Char"/>
    <w:basedOn w:val="DefaultParagraphFont"/>
    <w:link w:val="Heading8"/>
    <w:semiHidden/>
    <w:rsid w:val="00FF04E3"/>
    <w:rPr>
      <w:rFonts w:ascii="Calibri" w:hAnsi="Calibri"/>
      <w:i/>
      <w:iCs/>
      <w:sz w:val="24"/>
      <w:szCs w:val="24"/>
    </w:rPr>
  </w:style>
  <w:style w:type="character" w:customStyle="1" w:styleId="Heading9Char">
    <w:name w:val="Heading 9 Char"/>
    <w:basedOn w:val="DefaultParagraphFont"/>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basedOn w:val="DefaultParagraphFont"/>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basedOn w:val="DefaultParagraphFont"/>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basedOn w:val="DefaultParagraphFont"/>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basedOn w:val="DefaultParagraphFont"/>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basedOn w:val="BodyText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basedOn w:val="DefaultParagraphFont"/>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basedOn w:val="BodyTextIndent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basedOn w:val="DefaultParagraphFont"/>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basedOn w:val="DefaultParagraphFont"/>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basedOn w:val="DefaultParagraphFont"/>
    <w:link w:val="Closing"/>
    <w:semiHidden/>
    <w:rsid w:val="00FF04E3"/>
    <w:rPr>
      <w:sz w:val="24"/>
    </w:rPr>
  </w:style>
  <w:style w:type="paragraph" w:styleId="CommentText">
    <w:name w:val="annotation text"/>
    <w:basedOn w:val="Normal"/>
    <w:link w:val="CommentTextChar"/>
    <w:semiHidden/>
    <w:rsid w:val="00405336"/>
    <w:rPr>
      <w:sz w:val="20"/>
    </w:rPr>
  </w:style>
  <w:style w:type="character" w:customStyle="1" w:styleId="CommentTextChar">
    <w:name w:val="Comment Text Char"/>
    <w:basedOn w:val="DefaultParagraphFont"/>
    <w:link w:val="CommentText"/>
    <w:semiHidden/>
    <w:rsid w:val="00FF04E3"/>
  </w:style>
  <w:style w:type="paragraph" w:styleId="CommentSubject">
    <w:name w:val="annotation subject"/>
    <w:basedOn w:val="CommentText"/>
    <w:next w:val="CommentText"/>
    <w:link w:val="CommentSubjectChar"/>
    <w:semiHidden/>
    <w:rsid w:val="00405336"/>
    <w:rPr>
      <w:b/>
      <w:bCs/>
    </w:rPr>
  </w:style>
  <w:style w:type="character" w:customStyle="1" w:styleId="CommentSubjectChar">
    <w:name w:val="Comment Subject Char"/>
    <w:basedOn w:val="CommentTextChar"/>
    <w:link w:val="CommentSubject"/>
    <w:semiHidden/>
    <w:rsid w:val="00FF04E3"/>
    <w:rPr>
      <w:b/>
      <w:bCs/>
    </w:rPr>
  </w:style>
  <w:style w:type="paragraph" w:styleId="Date">
    <w:name w:val="Date"/>
    <w:basedOn w:val="Normal"/>
    <w:next w:val="Normal"/>
    <w:link w:val="DateChar"/>
    <w:semiHidden/>
    <w:rsid w:val="00405336"/>
  </w:style>
  <w:style w:type="character" w:customStyle="1" w:styleId="DateChar">
    <w:name w:val="Date Char"/>
    <w:basedOn w:val="DefaultParagraphFont"/>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basedOn w:val="DefaultParagraphFont"/>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basedOn w:val="DefaultParagraphFont"/>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semiHidden/>
    <w:rsid w:val="00405336"/>
    <w:pPr>
      <w:tabs>
        <w:tab w:val="center" w:pos="4680"/>
        <w:tab w:val="right" w:pos="9360"/>
      </w:tabs>
    </w:pPr>
  </w:style>
  <w:style w:type="character" w:customStyle="1" w:styleId="FooterChar">
    <w:name w:val="Footer Char"/>
    <w:basedOn w:val="DefaultParagraphFont"/>
    <w:link w:val="Footer"/>
    <w:semiHidden/>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semiHidden/>
    <w:rsid w:val="00405336"/>
    <w:pPr>
      <w:tabs>
        <w:tab w:val="center" w:pos="4680"/>
        <w:tab w:val="right" w:pos="9360"/>
      </w:tabs>
    </w:pPr>
  </w:style>
  <w:style w:type="character" w:customStyle="1" w:styleId="HeaderChar">
    <w:name w:val="Header Char"/>
    <w:basedOn w:val="DefaultParagraphFont"/>
    <w:link w:val="Header"/>
    <w:semiHidden/>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basedOn w:val="DefaultParagraphFont"/>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basedOn w:val="DefaultParagraphFont"/>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semiHidden/>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basedOn w:val="DefaultParagraphFont"/>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basedOn w:val="DefaultParagraphFont"/>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uiPriority w:val="99"/>
    <w:semiHidden/>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basedOn w:val="DefaultParagraphFont"/>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basedOn w:val="DefaultParagraphFont"/>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basedOn w:val="DefaultParagraphFont"/>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basedOn w:val="DefaultParagraphFont"/>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basedOn w:val="DefaultParagraphFont"/>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basedOn w:val="DefaultParagraphFont"/>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basedOn w:val="DefaultParagraphFont"/>
    <w:semiHidden/>
    <w:rsid w:val="007402FC"/>
    <w:rPr>
      <w:color w:val="0000FF"/>
      <w:u w:val="single"/>
    </w:rPr>
  </w:style>
  <w:style w:type="character" w:styleId="Emphasis">
    <w:name w:val="Emphasis"/>
    <w:basedOn w:val="DefaultParagraphFont"/>
    <w:uiPriority w:val="20"/>
    <w:qFormat/>
    <w:rsid w:val="00B42F9C"/>
    <w:rPr>
      <w:i/>
      <w:iCs/>
    </w:rPr>
  </w:style>
  <w:style w:type="character" w:styleId="CommentReference">
    <w:name w:val="annotation reference"/>
    <w:basedOn w:val="DefaultParagraphFont"/>
    <w:semiHidden/>
    <w:rsid w:val="009258B8"/>
    <w:rPr>
      <w:sz w:val="16"/>
      <w:szCs w:val="16"/>
    </w:rPr>
  </w:style>
  <w:style w:type="character" w:styleId="FollowedHyperlink">
    <w:name w:val="FollowedHyperlink"/>
    <w:basedOn w:val="DefaultParagraphFont"/>
    <w:semiHidden/>
    <w:unhideWhenUsed/>
    <w:rsid w:val="00611A19"/>
    <w:rPr>
      <w:color w:val="800080" w:themeColor="followedHyperlink"/>
      <w:u w:val="single"/>
    </w:rPr>
  </w:style>
  <w:style w:type="table" w:styleId="TableGrid">
    <w:name w:val="Table Grid"/>
    <w:basedOn w:val="TableNormal"/>
    <w:rsid w:val="00A672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087984">
      <w:bodyDiv w:val="1"/>
      <w:marLeft w:val="0"/>
      <w:marRight w:val="0"/>
      <w:marTop w:val="0"/>
      <w:marBottom w:val="0"/>
      <w:divBdr>
        <w:top w:val="none" w:sz="0" w:space="0" w:color="auto"/>
        <w:left w:val="none" w:sz="0" w:space="0" w:color="auto"/>
        <w:bottom w:val="none" w:sz="0" w:space="0" w:color="auto"/>
        <w:right w:val="none" w:sz="0" w:space="0" w:color="auto"/>
      </w:divBdr>
    </w:div>
    <w:div w:id="543178651">
      <w:bodyDiv w:val="1"/>
      <w:marLeft w:val="0"/>
      <w:marRight w:val="0"/>
      <w:marTop w:val="0"/>
      <w:marBottom w:val="0"/>
      <w:divBdr>
        <w:top w:val="none" w:sz="0" w:space="0" w:color="auto"/>
        <w:left w:val="none" w:sz="0" w:space="0" w:color="auto"/>
        <w:bottom w:val="none" w:sz="0" w:space="0" w:color="auto"/>
        <w:right w:val="none" w:sz="0" w:space="0" w:color="auto"/>
      </w:divBdr>
    </w:div>
    <w:div w:id="1176529443">
      <w:bodyDiv w:val="1"/>
      <w:marLeft w:val="0"/>
      <w:marRight w:val="0"/>
      <w:marTop w:val="0"/>
      <w:marBottom w:val="0"/>
      <w:divBdr>
        <w:top w:val="none" w:sz="0" w:space="0" w:color="auto"/>
        <w:left w:val="none" w:sz="0" w:space="0" w:color="auto"/>
        <w:bottom w:val="none" w:sz="0" w:space="0" w:color="auto"/>
        <w:right w:val="none" w:sz="0" w:space="0" w:color="auto"/>
      </w:divBdr>
    </w:div>
    <w:div w:id="1424375870">
      <w:bodyDiv w:val="1"/>
      <w:marLeft w:val="0"/>
      <w:marRight w:val="0"/>
      <w:marTop w:val="0"/>
      <w:marBottom w:val="0"/>
      <w:divBdr>
        <w:top w:val="none" w:sz="0" w:space="0" w:color="auto"/>
        <w:left w:val="none" w:sz="0" w:space="0" w:color="auto"/>
        <w:bottom w:val="none" w:sz="0" w:space="0" w:color="auto"/>
        <w:right w:val="none" w:sz="0" w:space="0" w:color="auto"/>
      </w:divBdr>
    </w:div>
    <w:div w:id="1469545632">
      <w:bodyDiv w:val="1"/>
      <w:marLeft w:val="0"/>
      <w:marRight w:val="0"/>
      <w:marTop w:val="0"/>
      <w:marBottom w:val="0"/>
      <w:divBdr>
        <w:top w:val="none" w:sz="0" w:space="0" w:color="auto"/>
        <w:left w:val="none" w:sz="0" w:space="0" w:color="auto"/>
        <w:bottom w:val="none" w:sz="0" w:space="0" w:color="auto"/>
        <w:right w:val="none" w:sz="0" w:space="0" w:color="auto"/>
      </w:divBdr>
    </w:div>
    <w:div w:id="2000229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23" Type="http://schemas.microsoft.com/office/2016/09/relationships/commentsIds" Target="commentsId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22"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1167</Words>
  <Characters>6658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7810</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creator>Brooks Hanson</dc:creator>
  <cp:lastModifiedBy>Wojciech Barczak</cp:lastModifiedBy>
  <cp:revision>3</cp:revision>
  <cp:lastPrinted>2020-02-10T10:11:00Z</cp:lastPrinted>
  <dcterms:created xsi:type="dcterms:W3CDTF">2020-05-18T11:25:00Z</dcterms:created>
  <dcterms:modified xsi:type="dcterms:W3CDTF">2020-05-18T11:25:00Z</dcterms:modified>
</cp:coreProperties>
</file>