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DA9CA" w14:textId="20C12E10" w:rsidR="009E0F35" w:rsidRPr="00150625" w:rsidRDefault="006D3990">
      <w:pPr>
        <w:rPr>
          <w:rFonts w:ascii="Palatino Linotype" w:hAnsi="Palatino Linotype" w:cs="Arial"/>
          <w:b/>
          <w:sz w:val="20"/>
          <w:szCs w:val="20"/>
          <w:lang w:val="en-US"/>
        </w:rPr>
      </w:pPr>
      <w:r w:rsidRPr="00150625">
        <w:rPr>
          <w:rFonts w:ascii="Palatino Linotype" w:hAnsi="Palatino Linotype" w:cs="Arial"/>
          <w:b/>
          <w:sz w:val="20"/>
          <w:szCs w:val="20"/>
          <w:lang w:val="en-US"/>
        </w:rPr>
        <w:t>Supplementary Figure Legends:</w:t>
      </w:r>
    </w:p>
    <w:p w14:paraId="30CFB85C" w14:textId="2BE06A07" w:rsidR="006D3990" w:rsidRPr="00150625" w:rsidRDefault="006D3990">
      <w:pPr>
        <w:rPr>
          <w:rFonts w:ascii="Palatino Linotype" w:hAnsi="Palatino Linotype" w:cs="Arial"/>
          <w:sz w:val="20"/>
          <w:szCs w:val="20"/>
          <w:lang w:val="en-US"/>
        </w:rPr>
      </w:pPr>
    </w:p>
    <w:p w14:paraId="5B5068C1" w14:textId="2E10D416" w:rsidR="006D3990" w:rsidRPr="00150625" w:rsidRDefault="006D3990">
      <w:pPr>
        <w:rPr>
          <w:rFonts w:ascii="Palatino Linotype" w:hAnsi="Palatino Linotype" w:cs="Arial"/>
          <w:sz w:val="20"/>
          <w:szCs w:val="20"/>
          <w:lang w:val="en-US"/>
        </w:rPr>
      </w:pPr>
      <w:r w:rsidRPr="00150625">
        <w:rPr>
          <w:rFonts w:ascii="Palatino Linotype" w:hAnsi="Palatino Linotype" w:cs="Arial"/>
          <w:b/>
          <w:sz w:val="20"/>
          <w:szCs w:val="20"/>
          <w:lang w:val="en-US"/>
        </w:rPr>
        <w:t>Figure S1:</w:t>
      </w:r>
      <w:r w:rsidRPr="00150625">
        <w:rPr>
          <w:rFonts w:ascii="Palatino Linotype" w:hAnsi="Palatino Linotype" w:cs="Arial"/>
          <w:sz w:val="20"/>
          <w:szCs w:val="20"/>
          <w:lang w:val="en-US"/>
        </w:rPr>
        <w:t xml:space="preserve"> Uncropped microscopic images related to </w:t>
      </w:r>
      <w:r w:rsidRPr="00150625">
        <w:rPr>
          <w:rFonts w:ascii="Palatino Linotype" w:hAnsi="Palatino Linotype" w:cs="Arial"/>
          <w:b/>
          <w:sz w:val="20"/>
          <w:szCs w:val="20"/>
          <w:lang w:val="en-US"/>
        </w:rPr>
        <w:t>Fig. 2e</w:t>
      </w:r>
      <w:r w:rsidRPr="00150625">
        <w:rPr>
          <w:rFonts w:ascii="Palatino Linotype" w:hAnsi="Palatino Linotype" w:cs="Arial"/>
          <w:sz w:val="20"/>
          <w:szCs w:val="20"/>
          <w:lang w:val="en-US"/>
        </w:rPr>
        <w:t>. PC-3 and M059K cells were subjected to neutral comet assay with or without DAG treatment. The scale bar stands for 50 µm.</w:t>
      </w:r>
      <w:bookmarkStart w:id="0" w:name="_GoBack"/>
      <w:bookmarkEnd w:id="0"/>
    </w:p>
    <w:sectPr w:rsidR="006D3990" w:rsidRPr="001506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42"/>
    <w:rsid w:val="000A1861"/>
    <w:rsid w:val="00102BB8"/>
    <w:rsid w:val="00150625"/>
    <w:rsid w:val="00172742"/>
    <w:rsid w:val="006D3990"/>
    <w:rsid w:val="00833E0C"/>
    <w:rsid w:val="00861A58"/>
    <w:rsid w:val="009E0F35"/>
    <w:rsid w:val="00A14D88"/>
    <w:rsid w:val="00B54F39"/>
    <w:rsid w:val="00B60EE6"/>
    <w:rsid w:val="00DA2964"/>
    <w:rsid w:val="00E90057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3513"/>
  <w15:chartTrackingRefBased/>
  <w15:docId w15:val="{99E805CC-E10F-4164-8010-2A9CC3BF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basedOn w:val="Normal"/>
    <w:qFormat/>
    <w:rsid w:val="000A1861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Normal"/>
    <w:qFormat/>
    <w:rsid w:val="00E90057"/>
    <w:pPr>
      <w:spacing w:before="0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Beibei Zhai</dc:creator>
  <cp:keywords/>
  <dc:description/>
  <cp:lastModifiedBy>Beibei Zhai</cp:lastModifiedBy>
  <cp:revision>12</cp:revision>
  <dcterms:created xsi:type="dcterms:W3CDTF">2020-06-15T15:12:00Z</dcterms:created>
  <dcterms:modified xsi:type="dcterms:W3CDTF">2020-06-15T18:22:00Z</dcterms:modified>
</cp:coreProperties>
</file>