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7ED85" w14:textId="6E7A7027" w:rsidR="007A3EE8" w:rsidRDefault="00E72C47" w:rsidP="00AB2566">
      <w:pPr>
        <w:spacing w:line="36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it-IT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it-IT"/>
        </w:rPr>
        <w:t>Supplementary Figures</w:t>
      </w:r>
    </w:p>
    <w:p w14:paraId="2F2AE966" w14:textId="4EC7DE6A" w:rsidR="007A3EE8" w:rsidRDefault="007A3EE8" w:rsidP="00AB2566">
      <w:pPr>
        <w:spacing w:line="36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val="en-US" w:eastAsia="it-IT"/>
        </w:rPr>
      </w:pPr>
      <w:r w:rsidRPr="007A3EE8"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 Suppl. Fig. 1 </w:t>
      </w:r>
      <w:r w:rsidR="0079435A" w:rsidRPr="007F0A89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>HPMC</w:t>
      </w:r>
      <w:r w:rsidR="0079435A" w:rsidRPr="00C951B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 </w:t>
      </w:r>
      <w:r w:rsid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purity </w:t>
      </w:r>
      <w:r w:rsidR="0079435A" w:rsidRPr="00C951B1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was determinated by </w:t>
      </w:r>
      <w:r w:rsid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>FACS analysis of</w:t>
      </w:r>
      <w:r w:rsidR="0079435A" w:rsidRP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 podoplanin </w:t>
      </w:r>
      <w:r w:rsid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expression </w:t>
      </w:r>
      <w:r w:rsidR="0079435A" w:rsidRP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as standard mesothelial marker, and by ruling out any contamination with macrophages </w:t>
      </w:r>
      <w:r w:rsid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>(</w:t>
      </w:r>
      <w:r w:rsidR="0079435A" w:rsidRP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>CD45</w:t>
      </w:r>
      <w:r w:rsid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 xml:space="preserve"> positive cells)</w:t>
      </w:r>
      <w:r w:rsidR="0079435A" w:rsidRPr="0079435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en-US" w:eastAsia="it-IT"/>
        </w:rPr>
        <w:t>.</w:t>
      </w:r>
    </w:p>
    <w:p w14:paraId="08BFBC74" w14:textId="3B15CF8B" w:rsidR="00DE7415" w:rsidRPr="00E72C47" w:rsidRDefault="00B22B2D" w:rsidP="00E72C47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7A3E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Suppl. Fig. </w:t>
      </w:r>
      <w:r w:rsidR="007A3E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2</w:t>
      </w:r>
      <w:r w:rsidR="00E50230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Gene Set Enrichment Analysis of HPMC</w:t>
      </w:r>
      <w:r w:rsidR="00FD6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in stretching and static conditions. GSEA was applied to analy</w:t>
      </w:r>
      <w:r w:rsidR="004828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z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e the comparative transcriptomic profile of human peritoneal mesothelial cells in stretching and static conditions. </w:t>
      </w:r>
      <w:r w:rsidR="00C86759" w:rsidRPr="007A3E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A.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GSEA plots for six selected gene sets, included in 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MSigDB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databases "Oncogenic Signatures", "Chemical and Genetic Perturbations", "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Reactome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", and "Cellular Component Gene Ontology", annotated with normalized enrichment score (NES) and false discovery rate (FDR). Black vertical lines indicate the position of genes from each gene set along a list of 14374 genes ranked by 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logFC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represented by the red to blue gradient. Green curves represent the distribution of gene set genes along the ranked list. Positive or negative NES values indicate a relative accumulation of genes with positive or negative 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logFC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respectively, in stretching conditions relative to static. FDR values lower than 0.25 are taken as significant, in the context of GSEA. </w:t>
      </w:r>
      <w:r w:rsidR="00C86759" w:rsidRPr="007A3E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B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GSEA analysis for IPA derived gene sets. The left side of the panel represents genes with Cav1-dependent </w:t>
      </w:r>
      <w:r w:rsidR="007B6E77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transcription or expression, derived from the literature, according to IPA knowledgebase. Positively and negatively regulated genes, represented with orange and blue symbols, respectively, were used to define two gene sets: CAV1_POS_REG and CAV1_NEG_REG. GSEA was then used to determine whether any of the two gene sets was enriched among genes up-regulated or down-regulated upon stretching. GSEA results, presented in the middle and right sections of the panel, indicated that Cav1 negatively regulated genes are enriched among the genes that are up-regulated upon stretching and that enrichment for CAV1_NEG_REG is significant (NES = 1.59; FDR = 0.028). SNAI1, CSF1R and CCND1 are the genes that mostly contribute to the observed enrichment value (they are the leading-edge subset of genes, as defined for GSEA), and their relative expression values are presented in the heatmap below. At the same time, Cav1 positively regulated genes (the CAV1_POS_REG gene set) are significantly enriched among the genes that are down-regulated upon stretching (NES = -1.25; FDR = 0.15). The leading-edge subset of genes is composed of NFATC1, CD14, NR3C2, FOS and EGR1 and their relative expression values are presented in the heatmap below. </w:t>
      </w:r>
      <w:r w:rsidR="00C86759" w:rsidRPr="007A3EE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C.</w:t>
      </w:r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Graphical summary of results. The 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barplot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represents FDR values for the eight gene sets referred in panels A and B. The dashed lines, representing FDR values of 0.25 (blue) and 0.05 (red), indicate the significance threshold used by default in the context of GSEA, and a more strict significance threshold, respectively. Positive and negative NES values are represented by </w:t>
      </w:r>
      <w:proofErr w:type="spellStart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colour</w:t>
      </w:r>
      <w:proofErr w:type="spellEnd"/>
      <w:r w:rsidR="00C86759" w:rsidRPr="007A3E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ranging from green to brown.</w:t>
      </w:r>
    </w:p>
    <w:p w14:paraId="4C55574E" w14:textId="153C0677" w:rsidR="00745CBA" w:rsidRPr="00E72C47" w:rsidRDefault="00DE7415" w:rsidP="00E72C47">
      <w:pPr>
        <w:spacing w:line="360" w:lineRule="auto"/>
        <w:jc w:val="both"/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820007">
        <w:rPr>
          <w:rFonts w:ascii="Times New Roman" w:hAnsi="Times New Roman" w:cs="Times New Roman"/>
          <w:b/>
          <w:color w:val="000000"/>
          <w:shd w:val="clear" w:color="auto" w:fill="FFFFFF"/>
          <w:lang w:val="en-US"/>
        </w:rPr>
        <w:lastRenderedPageBreak/>
        <w:t>Suppl. Fig. 3</w:t>
      </w:r>
      <w:r w:rsidR="007B5B7F">
        <w:rPr>
          <w:rFonts w:ascii="Calibri" w:hAnsi="Calibri" w:cs="Calibri"/>
          <w:color w:val="000000"/>
          <w:shd w:val="clear" w:color="auto" w:fill="FFFFFF"/>
          <w:lang w:val="en-US"/>
        </w:rPr>
        <w:t xml:space="preserve"> </w:t>
      </w:r>
      <w:r w:rsidR="004828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IPA </w:t>
      </w:r>
      <w:r w:rsidR="00482819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482819" w:rsidRPr="007F0A89">
        <w:rPr>
          <w:rFonts w:ascii="Times New Roman" w:hAnsi="Times New Roman" w:cs="Times New Roman"/>
          <w:sz w:val="24"/>
          <w:szCs w:val="24"/>
          <w:lang w:val="en-GB"/>
        </w:rPr>
        <w:t xml:space="preserve">etwork representing interactions between genes shown in </w:t>
      </w:r>
      <w:r w:rsidR="00482819" w:rsidRPr="007F0A89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Fig. 2B </w:t>
      </w:r>
      <w:r w:rsidR="00482819" w:rsidRPr="007F0A89">
        <w:rPr>
          <w:rFonts w:ascii="Times New Roman" w:hAnsi="Times New Roman" w:cs="Times New Roman"/>
          <w:sz w:val="24"/>
          <w:szCs w:val="24"/>
          <w:lang w:val="en-GB"/>
        </w:rPr>
        <w:t>and with YAP, TAZ, C</w:t>
      </w:r>
      <w:r w:rsidR="00482819">
        <w:rPr>
          <w:rFonts w:ascii="Times New Roman" w:hAnsi="Times New Roman" w:cs="Times New Roman"/>
          <w:sz w:val="24"/>
          <w:szCs w:val="24"/>
          <w:lang w:val="en-GB"/>
        </w:rPr>
        <w:t>AV</w:t>
      </w:r>
      <w:r w:rsidR="00482819" w:rsidRPr="007F0A89">
        <w:rPr>
          <w:rFonts w:ascii="Times New Roman" w:hAnsi="Times New Roman" w:cs="Times New Roman"/>
          <w:sz w:val="24"/>
          <w:szCs w:val="24"/>
          <w:lang w:val="en-GB"/>
        </w:rPr>
        <w:t>1, TGF-</w:t>
      </w:r>
      <w:r w:rsidR="00482819" w:rsidRPr="007F0A89">
        <w:rPr>
          <w:rFonts w:ascii="Symbol" w:hAnsi="Symbol" w:cs="Times New Roman"/>
          <w:sz w:val="24"/>
          <w:szCs w:val="24"/>
        </w:rPr>
        <w:t></w:t>
      </w:r>
      <w:r w:rsidR="00482819" w:rsidRPr="007F0A89">
        <w:rPr>
          <w:rFonts w:ascii="Times New Roman" w:hAnsi="Times New Roman" w:cs="Times New Roman"/>
          <w:sz w:val="24"/>
          <w:szCs w:val="24"/>
          <w:lang w:val="en-GB"/>
        </w:rPr>
        <w:t xml:space="preserve">1 and EMT function. </w:t>
      </w:r>
      <w:r w:rsidR="00482819" w:rsidRPr="007F0A89">
        <w:rPr>
          <w:rFonts w:ascii="Times New Roman" w:hAnsi="Times New Roman" w:cs="Times New Roman"/>
          <w:sz w:val="24"/>
          <w:szCs w:val="24"/>
          <w:lang w:val="en-US"/>
        </w:rPr>
        <w:t>Continuous lines represent direct relationships. Dotted lines represent indirect interactions.</w:t>
      </w:r>
      <w:r w:rsidR="00482819">
        <w:rPr>
          <w:rFonts w:ascii="Times New Roman" w:hAnsi="Times New Roman" w:cs="Times New Roman"/>
          <w:sz w:val="24"/>
          <w:szCs w:val="24"/>
          <w:lang w:val="en-US"/>
        </w:rPr>
        <w:t xml:space="preserve"> Significantly upregulated genes are in green. Significantly downregulated genes are represented in red.</w:t>
      </w:r>
    </w:p>
    <w:p w14:paraId="08C440A8" w14:textId="406C1085" w:rsidR="00E73F10" w:rsidRPr="00E72C47" w:rsidRDefault="00745CBA" w:rsidP="00E72C47">
      <w:pPr>
        <w:spacing w:line="360" w:lineRule="auto"/>
        <w:jc w:val="both"/>
        <w:rPr>
          <w:rFonts w:ascii="Calibri" w:hAnsi="Calibri" w:cs="Calibri"/>
          <w:color w:val="000000"/>
          <w:shd w:val="clear" w:color="auto" w:fill="FFFFFF"/>
          <w:lang w:val="en-US"/>
        </w:rPr>
      </w:pPr>
      <w:r w:rsidRPr="00745CBA">
        <w:rPr>
          <w:rFonts w:ascii="Times New Roman" w:hAnsi="Times New Roman" w:cs="Times New Roman"/>
          <w:b/>
          <w:sz w:val="24"/>
          <w:szCs w:val="24"/>
          <w:lang w:val="en-US"/>
        </w:rPr>
        <w:t>Suppl. Fig. 4</w:t>
      </w:r>
      <w:r w:rsidRPr="00745C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828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IPA</w:t>
      </w:r>
      <w:r w:rsidR="00482819" w:rsidRPr="00745CB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45CBA">
        <w:rPr>
          <w:rFonts w:ascii="Times New Roman" w:hAnsi="Times New Roman" w:cs="Times New Roman"/>
          <w:sz w:val="24"/>
          <w:szCs w:val="24"/>
          <w:lang w:val="en-GB"/>
        </w:rPr>
        <w:t xml:space="preserve">Network representing interactions between genes shown in </w:t>
      </w:r>
      <w:r w:rsidRPr="005A0F73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0C2BF7" w:rsidRPr="005A0F7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5A0F73">
        <w:rPr>
          <w:rFonts w:ascii="Times New Roman" w:hAnsi="Times New Roman" w:cs="Times New Roman"/>
          <w:b/>
          <w:sz w:val="24"/>
          <w:szCs w:val="24"/>
          <w:lang w:val="en-GB"/>
        </w:rPr>
        <w:t>6A</w:t>
      </w:r>
      <w:r w:rsidRPr="00745CB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745CBA">
        <w:rPr>
          <w:rFonts w:ascii="Times New Roman" w:hAnsi="Times New Roman" w:cs="Times New Roman"/>
          <w:sz w:val="24"/>
          <w:szCs w:val="24"/>
          <w:lang w:val="en-GB"/>
        </w:rPr>
        <w:t>and with Cav1, TGF-</w:t>
      </w:r>
      <w:r w:rsidRPr="00745CBA">
        <w:rPr>
          <w:rFonts w:ascii="Symbol" w:hAnsi="Symbol" w:cs="Times New Roman"/>
          <w:sz w:val="24"/>
          <w:szCs w:val="24"/>
        </w:rPr>
        <w:t></w:t>
      </w:r>
      <w:r w:rsidRPr="00745CBA">
        <w:rPr>
          <w:rFonts w:ascii="Times New Roman" w:hAnsi="Times New Roman" w:cs="Times New Roman"/>
          <w:sz w:val="24"/>
          <w:szCs w:val="24"/>
          <w:lang w:val="en-GB"/>
        </w:rPr>
        <w:t xml:space="preserve">1 and EMT function. </w:t>
      </w:r>
      <w:r w:rsidRPr="00745CBA">
        <w:rPr>
          <w:rFonts w:ascii="Times New Roman" w:hAnsi="Times New Roman" w:cs="Times New Roman"/>
          <w:sz w:val="24"/>
          <w:szCs w:val="24"/>
          <w:lang w:val="en-US"/>
        </w:rPr>
        <w:t>Continuous lines represent direct relationships. Dotted lines represent indirect interactions.</w:t>
      </w:r>
      <w:r w:rsidR="00482819">
        <w:rPr>
          <w:rFonts w:ascii="Times New Roman" w:hAnsi="Times New Roman" w:cs="Times New Roman"/>
          <w:sz w:val="24"/>
          <w:szCs w:val="24"/>
          <w:lang w:val="en-US"/>
        </w:rPr>
        <w:t xml:space="preserve"> Significantly upregulated genes are in green. Significantly downregulated genes are represented in red.</w:t>
      </w:r>
    </w:p>
    <w:p w14:paraId="76923385" w14:textId="3AD0BC67" w:rsidR="00995088" w:rsidRPr="00E72C47" w:rsidRDefault="00E73F10" w:rsidP="00E72C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46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Suppl. Fig. </w:t>
      </w:r>
      <w:r w:rsidR="00745CBA" w:rsidRPr="005346DA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5346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82819" w:rsidRPr="005346DA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5346DA"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spellEnd"/>
      <w:r w:rsidRPr="005346DA">
        <w:rPr>
          <w:rFonts w:ascii="Times New Roman" w:hAnsi="Times New Roman" w:cs="Times New Roman"/>
          <w:sz w:val="24"/>
          <w:szCs w:val="24"/>
          <w:lang w:val="en-US"/>
        </w:rPr>
        <w:t xml:space="preserve">-PCR using two different siRNA sequences specific for CAV1. In both cases, CAV1 silencing in stretching conditions (as in </w:t>
      </w:r>
      <w:r w:rsidRPr="005346DA">
        <w:rPr>
          <w:rFonts w:ascii="Times New Roman" w:hAnsi="Times New Roman" w:cs="Times New Roman"/>
          <w:b/>
          <w:sz w:val="24"/>
          <w:szCs w:val="24"/>
          <w:lang w:val="en-US"/>
        </w:rPr>
        <w:t>Fig. 6B</w:t>
      </w:r>
      <w:r w:rsidRPr="005346D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9F23C4" w:rsidRPr="005346DA">
        <w:rPr>
          <w:rFonts w:ascii="Times New Roman" w:hAnsi="Times New Roman" w:cs="Times New Roman"/>
          <w:sz w:val="24"/>
          <w:szCs w:val="24"/>
          <w:lang w:val="en-US"/>
        </w:rPr>
        <w:t xml:space="preserve">further </w:t>
      </w:r>
      <w:r w:rsidRPr="005346DA">
        <w:rPr>
          <w:rFonts w:ascii="Times New Roman" w:hAnsi="Times New Roman" w:cs="Times New Roman"/>
          <w:sz w:val="24"/>
          <w:szCs w:val="24"/>
          <w:lang w:val="en-US"/>
        </w:rPr>
        <w:t>promotes induction of mesenchymal markers compatible with a bona fide MMT.</w:t>
      </w:r>
      <w:r w:rsidR="00482819" w:rsidRPr="005346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7E5F" w:rsidRPr="005346DA">
        <w:rPr>
          <w:rFonts w:ascii="Times New Roman" w:hAnsi="Times New Roman" w:cs="Times New Roman"/>
          <w:sz w:val="24"/>
          <w:szCs w:val="24"/>
          <w:lang w:val="en-GB"/>
        </w:rPr>
        <w:t>L34 mRNA levels were used for normalization. Bars represent the mean</w:t>
      </w:r>
      <w:r w:rsidR="000C2BF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07E5F" w:rsidRPr="005346DA">
        <w:rPr>
          <w:rFonts w:ascii="MS Gothic" w:eastAsia="MS Gothic" w:hAnsi="MS Gothic"/>
          <w:color w:val="000000"/>
          <w:sz w:val="24"/>
          <w:szCs w:val="24"/>
          <w:lang w:val="en-GB"/>
        </w:rPr>
        <w:t>±</w:t>
      </w:r>
      <w:r w:rsidR="00A07E5F" w:rsidRPr="005346DA">
        <w:rPr>
          <w:rFonts w:ascii="Times New Roman" w:hAnsi="Times New Roman" w:cs="Times New Roman"/>
          <w:sz w:val="24"/>
          <w:szCs w:val="24"/>
          <w:lang w:val="en-GB"/>
        </w:rPr>
        <w:t xml:space="preserve">SEM of duplicate determinations in </w:t>
      </w:r>
      <w:r w:rsidR="005346DA" w:rsidRPr="005346DA">
        <w:rPr>
          <w:rFonts w:ascii="Times New Roman" w:hAnsi="Times New Roman" w:cs="Times New Roman"/>
          <w:sz w:val="24"/>
          <w:szCs w:val="24"/>
          <w:lang w:val="en-GB"/>
        </w:rPr>
        <w:t>five to six</w:t>
      </w:r>
      <w:r w:rsidR="00A07E5F" w:rsidRPr="005346DA">
        <w:rPr>
          <w:rFonts w:ascii="Times New Roman" w:hAnsi="Times New Roman" w:cs="Times New Roman"/>
          <w:sz w:val="24"/>
          <w:szCs w:val="24"/>
          <w:lang w:val="en-GB"/>
        </w:rPr>
        <w:t xml:space="preserve"> independent experiments.</w:t>
      </w:r>
    </w:p>
    <w:p w14:paraId="7009FF90" w14:textId="74D88598" w:rsidR="00E72C47" w:rsidRPr="00E72C47" w:rsidRDefault="000E76B9" w:rsidP="00AB256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Suppl</w:t>
      </w:r>
      <w:r w:rsidR="000C2B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Fig 6</w:t>
      </w:r>
      <w:r w:rsidR="000C2B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5A0F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Additional statistical comparisons from 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Fig.</w:t>
      </w:r>
      <w:r w:rsidR="000C2BF7"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5A</w:t>
      </w:r>
      <w:r w:rsidR="000C2BF7"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3ACC1036" w14:textId="5AA48102" w:rsidR="00E72C47" w:rsidRDefault="000E76B9" w:rsidP="000E76B9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Suppl</w:t>
      </w:r>
      <w:r w:rsidR="000C2B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Fig 7</w:t>
      </w:r>
      <w:r w:rsidR="000C2BF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5A0F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Additional statistical comparisons from 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Fig.</w:t>
      </w:r>
      <w:r w:rsidR="000C2BF7"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6B</w:t>
      </w:r>
      <w:r w:rsidR="000C2BF7" w:rsidRPr="005A0F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73F60164" w14:textId="3FA04719" w:rsidR="00E72C47" w:rsidRDefault="00E72C47" w:rsidP="000E76B9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</w:p>
    <w:p w14:paraId="02D467F9" w14:textId="58F8E21C" w:rsidR="00E72C47" w:rsidRPr="00E72C47" w:rsidRDefault="00E72C47" w:rsidP="000E76B9">
      <w:pPr>
        <w:spacing w:line="36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it-IT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it-IT"/>
        </w:rPr>
        <w:t xml:space="preserve">Supplementary 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eastAsia="it-IT"/>
        </w:rPr>
        <w:t>Tables</w:t>
      </w:r>
    </w:p>
    <w:p w14:paraId="05A73021" w14:textId="4FF6290C" w:rsidR="006F13DF" w:rsidRPr="00E72C47" w:rsidRDefault="000E76B9" w:rsidP="00E72C4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A0F73">
        <w:rPr>
          <w:rFonts w:ascii="Times New Roman" w:hAnsi="Times New Roman" w:cs="Times New Roman"/>
          <w:b/>
          <w:sz w:val="24"/>
          <w:szCs w:val="24"/>
          <w:lang w:val="en-US"/>
        </w:rPr>
        <w:t>Suppl. Table 1.</w:t>
      </w:r>
      <w:r w:rsidRPr="005A0F73">
        <w:rPr>
          <w:rFonts w:ascii="Times New Roman" w:hAnsi="Times New Roman" w:cs="Times New Roman"/>
          <w:sz w:val="24"/>
          <w:szCs w:val="24"/>
          <w:lang w:val="en-US"/>
        </w:rPr>
        <w:t xml:space="preserve"> Primer pairs for </w:t>
      </w:r>
      <w:proofErr w:type="spellStart"/>
      <w:r w:rsidRPr="005A0F73">
        <w:rPr>
          <w:rFonts w:ascii="Times New Roman" w:hAnsi="Times New Roman" w:cs="Times New Roman"/>
          <w:sz w:val="24"/>
          <w:szCs w:val="24"/>
          <w:lang w:val="en-US"/>
        </w:rPr>
        <w:t>qRT</w:t>
      </w:r>
      <w:proofErr w:type="spellEnd"/>
      <w:r w:rsidRPr="005A0F73">
        <w:rPr>
          <w:rFonts w:ascii="Times New Roman" w:hAnsi="Times New Roman" w:cs="Times New Roman"/>
          <w:sz w:val="24"/>
          <w:szCs w:val="24"/>
          <w:lang w:val="en-US"/>
        </w:rPr>
        <w:t>-PCR used in this study</w:t>
      </w:r>
      <w:r w:rsidR="000C2B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4331AF" w14:textId="5F07330C" w:rsidR="006F13DF" w:rsidRPr="00E72C47" w:rsidRDefault="006F13DF" w:rsidP="00E72C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A3EE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Suppl. </w:t>
      </w:r>
      <w:r w:rsidR="0048281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</w:t>
      </w:r>
      <w:r w:rsidRPr="007A3EE8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able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2</w:t>
      </w:r>
      <w:r w:rsidR="000C2BF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.</w:t>
      </w:r>
      <w:r w:rsidRPr="007A3EE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A3EE8">
        <w:rPr>
          <w:rFonts w:ascii="Times New Roman" w:hAnsi="Times New Roman" w:cs="Times New Roman"/>
          <w:sz w:val="24"/>
          <w:szCs w:val="24"/>
          <w:lang w:val="en-US"/>
        </w:rPr>
        <w:t>Post-surgical adhesion mouse scoring scheme. Grade is the extent of the IB covered by the adhesion, represented as a percentage.</w:t>
      </w:r>
    </w:p>
    <w:p w14:paraId="0BD7C159" w14:textId="323E3C43" w:rsidR="00B830DD" w:rsidRPr="00E72C47" w:rsidRDefault="00CE0039" w:rsidP="00E72C4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Suppl</w:t>
      </w:r>
      <w:r w:rsidR="000C2BF7"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0C2BF7"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T</w:t>
      </w:r>
      <w:r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able 3</w:t>
      </w:r>
      <w:r w:rsidR="000C2BF7" w:rsidRPr="008A641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.</w:t>
      </w:r>
      <w:r w:rsidRPr="008A64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8A641A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list of mesothelium-specific </w:t>
      </w:r>
      <w:r w:rsidRPr="008A6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markers was created on the basis of published transcriptomic studies.</w:t>
      </w:r>
      <w:r w:rsidR="007B45C5" w:rsidRPr="008A64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KRT7, calretinin, </w:t>
      </w:r>
      <w:proofErr w:type="spellStart"/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podoplanin</w:t>
      </w:r>
      <w:proofErr w:type="spellEnd"/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mesothelin and WT1 have been considered as specific mesothelial markers</w:t>
      </w:r>
      <w:r w:rsidR="008A641A" w:rsidRPr="008A641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48</w:t>
      </w:r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Ruiz Carpio et al identified profiles of gene expression of MCs during in vivo and ex vivo MMT</w:t>
      </w:r>
      <w:r w:rsidR="008A641A" w:rsidRPr="008A641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39</w:t>
      </w:r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Moreover, previous research demonstrates that MCs typically share common markers with endothelial cells, including VEGF, VEGF receptors (KDR) and co-receptors (neuropilin-1). Accordingly, VEGF/VEGFRs/co-receptors axis switched during MMT</w:t>
      </w:r>
      <w:r w:rsidR="008A641A" w:rsidRPr="008A641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47</w:t>
      </w:r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A number of independent analyses from other studies further confirm our data</w:t>
      </w:r>
      <w:r w:rsidR="008A641A" w:rsidRPr="008A641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51</w:t>
      </w:r>
      <w:r w:rsidR="007B45C5" w:rsidRPr="008A641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1806BC1" w14:textId="56B913DE" w:rsidR="002129AB" w:rsidRPr="00E72C47" w:rsidRDefault="000B74A0" w:rsidP="00E72C47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7A3E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Suppl. </w:t>
      </w:r>
      <w:r w:rsidR="00482819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7A3EE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r w:rsidR="00FF50D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0C2BF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7A3EE8">
        <w:rPr>
          <w:rFonts w:ascii="Times New Roman" w:hAnsi="Times New Roman" w:cs="Times New Roman"/>
          <w:sz w:val="24"/>
          <w:szCs w:val="24"/>
          <w:lang w:val="en-US"/>
        </w:rPr>
        <w:t xml:space="preserve"> List of Cav1 and TGF-</w:t>
      </w:r>
      <w:r w:rsidRPr="002129AB">
        <w:rPr>
          <w:rFonts w:ascii="Symbol" w:hAnsi="Symbol" w:cs="Times New Roman"/>
          <w:sz w:val="24"/>
          <w:szCs w:val="24"/>
        </w:rPr>
        <w:t></w:t>
      </w:r>
      <w:r w:rsidRPr="007A3EE8">
        <w:rPr>
          <w:rFonts w:ascii="Times New Roman" w:hAnsi="Times New Roman" w:cs="Times New Roman"/>
          <w:sz w:val="24"/>
          <w:szCs w:val="24"/>
          <w:lang w:val="en-US"/>
        </w:rPr>
        <w:t xml:space="preserve">1 related genes from the experiment described in </w:t>
      </w:r>
      <w:r w:rsidRPr="007A3EE8">
        <w:rPr>
          <w:rFonts w:ascii="Times New Roman" w:hAnsi="Times New Roman" w:cs="Times New Roman"/>
          <w:b/>
          <w:sz w:val="24"/>
          <w:szCs w:val="24"/>
          <w:lang w:val="en-US"/>
        </w:rPr>
        <w:t>Fig. 6</w:t>
      </w:r>
      <w:r w:rsidRPr="007A3EE8">
        <w:rPr>
          <w:rFonts w:ascii="Times New Roman" w:hAnsi="Times New Roman" w:cs="Times New Roman"/>
          <w:sz w:val="24"/>
          <w:szCs w:val="24"/>
          <w:lang w:val="en-US"/>
        </w:rPr>
        <w:t xml:space="preserve">. Upregulated genes are in green; downregulated genes are in </w:t>
      </w:r>
      <w:r w:rsidR="00482819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7A3EE8">
        <w:rPr>
          <w:rFonts w:ascii="Times New Roman" w:hAnsi="Times New Roman" w:cs="Times New Roman"/>
          <w:sz w:val="24"/>
          <w:szCs w:val="24"/>
          <w:lang w:val="en-US"/>
        </w:rPr>
        <w:t xml:space="preserve">ed. </w:t>
      </w:r>
      <w:r w:rsidR="0088176D" w:rsidRPr="001829B8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="00482819" w:rsidRPr="001829B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values ≤ 0.05 are highlighted in blue.</w:t>
      </w:r>
    </w:p>
    <w:p w14:paraId="6ECC0230" w14:textId="77777777" w:rsidR="00CF5414" w:rsidRPr="007A3EE8" w:rsidRDefault="00CF5414">
      <w:pPr>
        <w:rPr>
          <w:lang w:val="en-US"/>
        </w:rPr>
      </w:pPr>
    </w:p>
    <w:sectPr w:rsidR="00CF5414" w:rsidRPr="007A3E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8B"/>
    <w:rsid w:val="0000661C"/>
    <w:rsid w:val="00024312"/>
    <w:rsid w:val="00061ADF"/>
    <w:rsid w:val="000B74A0"/>
    <w:rsid w:val="000C2BF7"/>
    <w:rsid w:val="000E3157"/>
    <w:rsid w:val="000E76B9"/>
    <w:rsid w:val="000F61E4"/>
    <w:rsid w:val="001829B8"/>
    <w:rsid w:val="001B45C0"/>
    <w:rsid w:val="001D4C7C"/>
    <w:rsid w:val="002129AB"/>
    <w:rsid w:val="0026678B"/>
    <w:rsid w:val="00322C49"/>
    <w:rsid w:val="00325C34"/>
    <w:rsid w:val="00361BFA"/>
    <w:rsid w:val="003763BA"/>
    <w:rsid w:val="003F5584"/>
    <w:rsid w:val="00482819"/>
    <w:rsid w:val="005346DA"/>
    <w:rsid w:val="00586E31"/>
    <w:rsid w:val="005A0F73"/>
    <w:rsid w:val="005C003A"/>
    <w:rsid w:val="005D3630"/>
    <w:rsid w:val="00617246"/>
    <w:rsid w:val="00632E7F"/>
    <w:rsid w:val="006F13DF"/>
    <w:rsid w:val="00745CBA"/>
    <w:rsid w:val="00782403"/>
    <w:rsid w:val="007936E0"/>
    <w:rsid w:val="0079435A"/>
    <w:rsid w:val="007A3EE8"/>
    <w:rsid w:val="007B45C5"/>
    <w:rsid w:val="007B5B7F"/>
    <w:rsid w:val="007B6E77"/>
    <w:rsid w:val="00820007"/>
    <w:rsid w:val="0088176D"/>
    <w:rsid w:val="008A641A"/>
    <w:rsid w:val="008B4BD7"/>
    <w:rsid w:val="008C04CB"/>
    <w:rsid w:val="008E6720"/>
    <w:rsid w:val="008F5BB3"/>
    <w:rsid w:val="009524A7"/>
    <w:rsid w:val="00995088"/>
    <w:rsid w:val="009D386D"/>
    <w:rsid w:val="009E1BBB"/>
    <w:rsid w:val="009F23C4"/>
    <w:rsid w:val="009F3436"/>
    <w:rsid w:val="00A07E5F"/>
    <w:rsid w:val="00A57D44"/>
    <w:rsid w:val="00AB2566"/>
    <w:rsid w:val="00AF114A"/>
    <w:rsid w:val="00B22B2D"/>
    <w:rsid w:val="00B35DEB"/>
    <w:rsid w:val="00B75915"/>
    <w:rsid w:val="00B830DD"/>
    <w:rsid w:val="00BA08FF"/>
    <w:rsid w:val="00C679ED"/>
    <w:rsid w:val="00C86759"/>
    <w:rsid w:val="00CE0039"/>
    <w:rsid w:val="00CF5414"/>
    <w:rsid w:val="00D67B9F"/>
    <w:rsid w:val="00D8372A"/>
    <w:rsid w:val="00D9083A"/>
    <w:rsid w:val="00DD0CE6"/>
    <w:rsid w:val="00DE7415"/>
    <w:rsid w:val="00E50230"/>
    <w:rsid w:val="00E72C47"/>
    <w:rsid w:val="00E73F10"/>
    <w:rsid w:val="00EC7FE1"/>
    <w:rsid w:val="00EF5EFB"/>
    <w:rsid w:val="00FC2165"/>
    <w:rsid w:val="00FD6509"/>
    <w:rsid w:val="00FE323D"/>
    <w:rsid w:val="00FF4249"/>
    <w:rsid w:val="00F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1650A"/>
  <w15:docId w15:val="{02277159-8F6D-4D36-B806-C6D5E641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22B2D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B5B7F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B5B7F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B5B7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5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5B7F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5B7F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5B7F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E0039"/>
    <w:rPr>
      <w:color w:val="0000FF"/>
      <w:u w:val="single"/>
    </w:rPr>
  </w:style>
  <w:style w:type="paragraph" w:customStyle="1" w:styleId="Titolo1">
    <w:name w:val="Titolo1"/>
    <w:basedOn w:val="Normale"/>
    <w:rsid w:val="00CE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sc">
    <w:name w:val="desc"/>
    <w:basedOn w:val="Normale"/>
    <w:rsid w:val="00CE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tails">
    <w:name w:val="details"/>
    <w:basedOn w:val="Normale"/>
    <w:rsid w:val="00CE0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jrnl">
    <w:name w:val="jrnl"/>
    <w:basedOn w:val="Carpredefinitoparagrafo"/>
    <w:rsid w:val="00CE0039"/>
  </w:style>
  <w:style w:type="paragraph" w:styleId="NormaleWeb">
    <w:name w:val="Normal (Web)"/>
    <w:basedOn w:val="Normale"/>
    <w:uiPriority w:val="99"/>
    <w:semiHidden/>
    <w:unhideWhenUsed/>
    <w:rsid w:val="000E31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8A64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6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A166F-C629-47A7-A1CD-7DBF3870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Strippoli</dc:creator>
  <cp:keywords/>
  <dc:description/>
  <cp:lastModifiedBy>Raffaele Strippoli</cp:lastModifiedBy>
  <cp:revision>2</cp:revision>
  <cp:lastPrinted>2019-09-09T15:37:00Z</cp:lastPrinted>
  <dcterms:created xsi:type="dcterms:W3CDTF">2020-06-08T17:08:00Z</dcterms:created>
  <dcterms:modified xsi:type="dcterms:W3CDTF">2020-06-08T17:08:00Z</dcterms:modified>
</cp:coreProperties>
</file>