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6AA3F" w14:textId="77777777" w:rsidR="00BA07AF" w:rsidRPr="002B7A44" w:rsidRDefault="00BA07AF" w:rsidP="00BA07AF">
      <w:pPr>
        <w:adjustRightInd w:val="0"/>
        <w:snapToGrid w:val="0"/>
        <w:spacing w:line="480" w:lineRule="auto"/>
        <w:rPr>
          <w:rFonts w:ascii="Times New Roman" w:hAnsi="Times New Roman" w:cs="Times New Roman"/>
          <w:b/>
          <w:bCs/>
          <w:sz w:val="24"/>
        </w:rPr>
      </w:pPr>
      <w:r w:rsidRPr="00E74415">
        <w:rPr>
          <w:rFonts w:ascii="Times New Roman" w:hAnsi="Times New Roman" w:cs="Times New Roman"/>
          <w:b/>
          <w:bCs/>
          <w:kern w:val="0"/>
          <w:sz w:val="24"/>
        </w:rPr>
        <w:t>Supplementary</w:t>
      </w:r>
      <w:r w:rsidRPr="002B7A44">
        <w:rPr>
          <w:rFonts w:ascii="Times New Roman" w:hAnsi="Times New Roman" w:cs="Times New Roman"/>
          <w:b/>
          <w:bCs/>
          <w:sz w:val="24"/>
        </w:rPr>
        <w:t xml:space="preserve"> Materials and methods</w:t>
      </w:r>
    </w:p>
    <w:p w14:paraId="53093913" w14:textId="77777777" w:rsidR="00BA07AF" w:rsidRPr="002B7A44" w:rsidRDefault="00BA07AF" w:rsidP="00BA07AF">
      <w:pPr>
        <w:adjustRightInd w:val="0"/>
        <w:snapToGrid w:val="0"/>
        <w:spacing w:line="480" w:lineRule="auto"/>
        <w:rPr>
          <w:rFonts w:ascii="Times New Roman" w:hAnsi="Times New Roman" w:cs="Times New Roman"/>
          <w:b/>
          <w:bCs/>
          <w:sz w:val="24"/>
        </w:rPr>
      </w:pPr>
      <w:r w:rsidRPr="002B7A44">
        <w:rPr>
          <w:rFonts w:ascii="Times New Roman" w:hAnsi="Times New Roman" w:cs="Times New Roman"/>
          <w:b/>
          <w:bCs/>
          <w:sz w:val="24"/>
        </w:rPr>
        <w:t>Microarray analysis</w:t>
      </w:r>
    </w:p>
    <w:p w14:paraId="23DF72C2" w14:textId="77777777" w:rsidR="00BA07AF" w:rsidRPr="002B7A44" w:rsidRDefault="00BA07AF" w:rsidP="00BA07AF">
      <w:pPr>
        <w:adjustRightInd w:val="0"/>
        <w:snapToGrid w:val="0"/>
        <w:spacing w:line="480" w:lineRule="auto"/>
        <w:rPr>
          <w:rFonts w:ascii="Times New Roman" w:hAnsi="Times New Roman" w:cs="Times New Roman"/>
          <w:sz w:val="24"/>
        </w:rPr>
      </w:pPr>
      <w:r w:rsidRPr="002B7A44">
        <w:rPr>
          <w:rFonts w:ascii="Times New Roman" w:hAnsi="Times New Roman" w:cs="Times New Roman"/>
          <w:sz w:val="24"/>
        </w:rPr>
        <w:t xml:space="preserve">Data of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 mRNAs </w:t>
      </w:r>
      <w:r w:rsidRPr="002B7A44">
        <w:rPr>
          <w:rFonts w:ascii="Times New Roman" w:hAnsi="Times New Roman" w:cs="Times New Roman" w:hint="eastAsia"/>
          <w:sz w:val="24"/>
        </w:rPr>
        <w:t>and</w:t>
      </w:r>
      <w:r w:rsidRPr="002B7A44">
        <w:rPr>
          <w:rFonts w:ascii="Times New Roman" w:hAnsi="Times New Roman" w:cs="Times New Roman"/>
          <w:sz w:val="24"/>
        </w:rPr>
        <w:t xml:space="preserve"> </w:t>
      </w:r>
      <w:r w:rsidRPr="002B7A44">
        <w:rPr>
          <w:rFonts w:ascii="Times New Roman" w:hAnsi="Times New Roman" w:cs="Times New Roman" w:hint="eastAsia"/>
          <w:sz w:val="24"/>
        </w:rPr>
        <w:t>miRNAs</w:t>
      </w:r>
      <w:r w:rsidRPr="002B7A44">
        <w:rPr>
          <w:rFonts w:ascii="Times New Roman" w:hAnsi="Times New Roman" w:cs="Times New Roman"/>
          <w:sz w:val="24"/>
        </w:rPr>
        <w:t xml:space="preserve"> expressions in normal and HCC tissues were downloaded from GEO (https://www.ncbi.nlm.nih.gov/geo/) (</w:t>
      </w:r>
      <w:bookmarkStart w:id="0" w:name="OLE_LINK3"/>
      <w:r w:rsidRPr="002B7A44">
        <w:rPr>
          <w:rFonts w:ascii="Times New Roman" w:hAnsi="Times New Roman" w:cs="Times New Roman"/>
          <w:sz w:val="24"/>
        </w:rPr>
        <w:t>GSE115018</w:t>
      </w:r>
      <w:bookmarkEnd w:id="0"/>
      <w:r w:rsidRPr="002B7A44">
        <w:rPr>
          <w:rFonts w:ascii="Times New Roman" w:hAnsi="Times New Roman" w:cs="Times New Roman"/>
          <w:sz w:val="24"/>
        </w:rPr>
        <w:t xml:space="preserve"> </w:t>
      </w:r>
      <w:r w:rsidRPr="002B7A44">
        <w:rPr>
          <w:rFonts w:ascii="Times New Roman" w:hAnsi="Times New Roman" w:cs="Times New Roman" w:hint="eastAsia"/>
          <w:sz w:val="24"/>
        </w:rPr>
        <w:t>and</w:t>
      </w:r>
      <w:r w:rsidRPr="002B7A44">
        <w:rPr>
          <w:rFonts w:ascii="Times New Roman" w:hAnsi="Times New Roman" w:cs="Times New Roman"/>
          <w:sz w:val="24"/>
        </w:rPr>
        <w:t xml:space="preserve"> GSE11501</w:t>
      </w:r>
      <w:r w:rsidRPr="002B7A44">
        <w:rPr>
          <w:rFonts w:ascii="Times New Roman" w:hAnsi="Times New Roman" w:cs="Times New Roman" w:hint="eastAsia"/>
          <w:sz w:val="24"/>
        </w:rPr>
        <w:t>6</w:t>
      </w:r>
      <w:r w:rsidRPr="002B7A44">
        <w:rPr>
          <w:rFonts w:ascii="Times New Roman" w:hAnsi="Times New Roman" w:cs="Times New Roman"/>
          <w:sz w:val="24"/>
        </w:rPr>
        <w:t xml:space="preserve">). Gene expression data was processed through the </w:t>
      </w:r>
      <w:proofErr w:type="spellStart"/>
      <w:r w:rsidRPr="002B7A44">
        <w:rPr>
          <w:rFonts w:ascii="Times New Roman" w:hAnsi="Times New Roman" w:cs="Times New Roman"/>
          <w:sz w:val="24"/>
        </w:rPr>
        <w:t>Limma</w:t>
      </w:r>
      <w:proofErr w:type="spellEnd"/>
      <w:r w:rsidRPr="002B7A44">
        <w:rPr>
          <w:rFonts w:ascii="Times New Roman" w:hAnsi="Times New Roman" w:cs="Times New Roman"/>
          <w:sz w:val="24"/>
        </w:rPr>
        <w:t xml:space="preserve"> package of the R software. Data normalization in each array was conducted by quantile normalization procedure.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 mRNAs </w:t>
      </w:r>
      <w:r w:rsidRPr="002B7A44">
        <w:rPr>
          <w:rFonts w:ascii="Times New Roman" w:hAnsi="Times New Roman" w:cs="Times New Roman" w:hint="eastAsia"/>
          <w:sz w:val="24"/>
        </w:rPr>
        <w:t>and</w:t>
      </w:r>
      <w:r w:rsidRPr="002B7A44">
        <w:rPr>
          <w:rFonts w:ascii="Times New Roman" w:hAnsi="Times New Roman" w:cs="Times New Roman"/>
          <w:sz w:val="24"/>
        </w:rPr>
        <w:t xml:space="preserve"> </w:t>
      </w:r>
      <w:r w:rsidRPr="002B7A44">
        <w:rPr>
          <w:rFonts w:ascii="Times New Roman" w:hAnsi="Times New Roman" w:cs="Times New Roman" w:hint="eastAsia"/>
          <w:sz w:val="24"/>
        </w:rPr>
        <w:t>mi</w:t>
      </w:r>
      <w:r w:rsidRPr="002B7A44">
        <w:rPr>
          <w:rFonts w:ascii="Times New Roman" w:hAnsi="Times New Roman" w:cs="Times New Roman"/>
          <w:sz w:val="24"/>
        </w:rPr>
        <w:t>RNA</w:t>
      </w:r>
      <w:r w:rsidRPr="002B7A44">
        <w:rPr>
          <w:rFonts w:ascii="Times New Roman" w:hAnsi="Times New Roman" w:cs="Times New Roman" w:hint="eastAsia"/>
          <w:sz w:val="24"/>
        </w:rPr>
        <w:t>s</w:t>
      </w:r>
      <w:r w:rsidRPr="002B7A44">
        <w:rPr>
          <w:rFonts w:ascii="Times New Roman" w:hAnsi="Times New Roman" w:cs="Times New Roman"/>
          <w:sz w:val="24"/>
        </w:rPr>
        <w:t xml:space="preserve"> were considered to be significantly differential expressed if they reached the standards that </w:t>
      </w:r>
      <w:r w:rsidRPr="002B7A44">
        <w:rPr>
          <w:rFonts w:ascii="Times New Roman" w:hAnsi="Times New Roman" w:cs="Times New Roman"/>
          <w:i/>
          <w:sz w:val="24"/>
        </w:rPr>
        <w:t>P</w:t>
      </w:r>
      <w:r w:rsidRPr="002B7A44">
        <w:rPr>
          <w:rFonts w:ascii="Times New Roman" w:hAnsi="Times New Roman" w:cs="Times New Roman"/>
          <w:sz w:val="24"/>
        </w:rPr>
        <w:t xml:space="preserve"> value &lt; 0.05 (BH method) and |log</w:t>
      </w:r>
      <w:r w:rsidRPr="002B7A44">
        <w:rPr>
          <w:rFonts w:ascii="Times New Roman" w:hAnsi="Times New Roman" w:cs="Times New Roman"/>
          <w:sz w:val="24"/>
          <w:vertAlign w:val="subscript"/>
        </w:rPr>
        <w:t>2</w:t>
      </w:r>
      <w:r w:rsidRPr="002B7A44">
        <w:rPr>
          <w:rFonts w:ascii="Times New Roman" w:hAnsi="Times New Roman" w:cs="Times New Roman"/>
          <w:sz w:val="24"/>
        </w:rPr>
        <w:t>FC| &gt; 1.</w:t>
      </w:r>
    </w:p>
    <w:p w14:paraId="4E4242AF" w14:textId="77777777" w:rsidR="00BA07AF" w:rsidRPr="002B7A44" w:rsidRDefault="00BA07AF" w:rsidP="00BA07AF">
      <w:pPr>
        <w:adjustRightInd w:val="0"/>
        <w:snapToGrid w:val="0"/>
        <w:spacing w:line="480" w:lineRule="auto"/>
        <w:rPr>
          <w:rFonts w:ascii="Times New Roman" w:hAnsi="Times New Roman" w:cs="Times New Roman"/>
          <w:sz w:val="24"/>
        </w:rPr>
      </w:pPr>
      <w:bookmarkStart w:id="1" w:name="OLE_LINK28"/>
      <w:r w:rsidRPr="002B7A44">
        <w:rPr>
          <w:rFonts w:ascii="Times New Roman" w:hAnsi="Times New Roman" w:cs="Times New Roman"/>
          <w:b/>
          <w:bCs/>
          <w:sz w:val="24"/>
        </w:rPr>
        <w:t>Gene set enrichment analysis (GSEA)</w:t>
      </w:r>
      <w:bookmarkEnd w:id="1"/>
    </w:p>
    <w:p w14:paraId="5F0514FB" w14:textId="77777777" w:rsidR="00BA07AF" w:rsidRPr="002B7A44" w:rsidRDefault="00BA07AF" w:rsidP="00BA07AF">
      <w:pPr>
        <w:adjustRightInd w:val="0"/>
        <w:snapToGrid w:val="0"/>
        <w:spacing w:line="480" w:lineRule="auto"/>
        <w:rPr>
          <w:rFonts w:ascii="Times New Roman" w:hAnsi="Times New Roman" w:cs="Times New Roman"/>
          <w:sz w:val="24"/>
        </w:rPr>
      </w:pPr>
      <w:bookmarkStart w:id="2" w:name="OLE_LINK18"/>
      <w:bookmarkStart w:id="3" w:name="OLE_LINK19"/>
      <w:r w:rsidRPr="002B7A44">
        <w:rPr>
          <w:rFonts w:ascii="Times New Roman" w:hAnsi="Times New Roman" w:cs="Times New Roman"/>
          <w:sz w:val="24"/>
        </w:rPr>
        <w:t>To determine specific pathways of enriched genes</w:t>
      </w:r>
      <w:bookmarkEnd w:id="2"/>
      <w:bookmarkEnd w:id="3"/>
      <w:r w:rsidRPr="002B7A44">
        <w:rPr>
          <w:rFonts w:ascii="Times New Roman" w:hAnsi="Times New Roman" w:cs="Times New Roman"/>
          <w:sz w:val="24"/>
        </w:rPr>
        <w:t xml:space="preserve">, differential expression data was obtained from the microarray analysis and was submitted to GSEA V3.0. The local Human-KEGG database and log2 ratio of class method were utilized in implementation of KEGG enrichment analysis. KEGG pathways with notable enrichment results in HCC in comparison with normal tissues were demonstrated based on normalized enrichment score (NES), gene ratio and </w:t>
      </w:r>
      <w:r w:rsidRPr="002B7A44">
        <w:rPr>
          <w:rFonts w:ascii="Times New Roman" w:hAnsi="Times New Roman" w:cs="Times New Roman"/>
          <w:i/>
          <w:sz w:val="24"/>
        </w:rPr>
        <w:t>P</w:t>
      </w:r>
      <w:r w:rsidRPr="002B7A44">
        <w:rPr>
          <w:rFonts w:ascii="Times New Roman" w:hAnsi="Times New Roman" w:cs="Times New Roman"/>
          <w:sz w:val="24"/>
        </w:rPr>
        <w:t xml:space="preserve"> value. DOSE, </w:t>
      </w:r>
      <w:proofErr w:type="spellStart"/>
      <w:r w:rsidRPr="002B7A44">
        <w:rPr>
          <w:rFonts w:ascii="Times New Roman" w:hAnsi="Times New Roman" w:cs="Times New Roman"/>
          <w:sz w:val="24"/>
        </w:rPr>
        <w:t>clusterprofiler</w:t>
      </w:r>
      <w:proofErr w:type="spellEnd"/>
      <w:r w:rsidRPr="002B7A44">
        <w:rPr>
          <w:rFonts w:ascii="Times New Roman" w:hAnsi="Times New Roman" w:cs="Times New Roman"/>
          <w:sz w:val="24"/>
        </w:rPr>
        <w:t xml:space="preserve">, ggplot2, </w:t>
      </w:r>
      <w:proofErr w:type="spellStart"/>
      <w:r w:rsidRPr="002B7A44">
        <w:rPr>
          <w:rFonts w:ascii="Times New Roman" w:hAnsi="Times New Roman" w:cs="Times New Roman"/>
          <w:sz w:val="24"/>
        </w:rPr>
        <w:t>ggjoy</w:t>
      </w:r>
      <w:proofErr w:type="spellEnd"/>
      <w:r w:rsidRPr="002B7A44">
        <w:rPr>
          <w:rFonts w:ascii="Times New Roman" w:hAnsi="Times New Roman" w:cs="Times New Roman"/>
          <w:sz w:val="24"/>
        </w:rPr>
        <w:t xml:space="preserve">, </w:t>
      </w:r>
      <w:proofErr w:type="spellStart"/>
      <w:r w:rsidRPr="002B7A44">
        <w:rPr>
          <w:rFonts w:ascii="Times New Roman" w:hAnsi="Times New Roman" w:cs="Times New Roman"/>
          <w:sz w:val="24"/>
        </w:rPr>
        <w:t>GSEABase</w:t>
      </w:r>
      <w:proofErr w:type="spellEnd"/>
      <w:r w:rsidRPr="002B7A44">
        <w:rPr>
          <w:rFonts w:ascii="Times New Roman" w:hAnsi="Times New Roman" w:cs="Times New Roman"/>
          <w:sz w:val="24"/>
        </w:rPr>
        <w:t xml:space="preserve"> and annotate packages in R software were exerted to visualize the dysregulated</w:t>
      </w:r>
      <w:r w:rsidRPr="002B7A44" w:rsidDel="00D176F5">
        <w:rPr>
          <w:rFonts w:ascii="Times New Roman" w:hAnsi="Times New Roman" w:cs="Times New Roman"/>
          <w:sz w:val="24"/>
        </w:rPr>
        <w:t xml:space="preserve"> </w:t>
      </w:r>
      <w:r w:rsidRPr="002B7A44">
        <w:rPr>
          <w:rFonts w:ascii="Times New Roman" w:hAnsi="Times New Roman" w:cs="Times New Roman"/>
          <w:sz w:val="24"/>
        </w:rPr>
        <w:t>signaling pathways in HCC compared with adjacent normal control.</w:t>
      </w:r>
    </w:p>
    <w:p w14:paraId="6102C01E" w14:textId="77777777" w:rsidR="00BA07AF" w:rsidRPr="002B7A44" w:rsidRDefault="00BA07AF" w:rsidP="00BA07AF">
      <w:pPr>
        <w:adjustRightInd w:val="0"/>
        <w:snapToGrid w:val="0"/>
        <w:spacing w:line="480" w:lineRule="auto"/>
        <w:rPr>
          <w:rFonts w:ascii="Times New Roman" w:hAnsi="Times New Roman" w:cs="Times New Roman"/>
          <w:b/>
          <w:bCs/>
          <w:sz w:val="24"/>
        </w:rPr>
      </w:pPr>
      <w:r w:rsidRPr="002B7A44">
        <w:rPr>
          <w:rFonts w:ascii="Times New Roman" w:hAnsi="Times New Roman" w:cs="Times New Roman"/>
          <w:b/>
          <w:bCs/>
          <w:sz w:val="24"/>
        </w:rPr>
        <w:t>Co-expression network analysis</w:t>
      </w:r>
    </w:p>
    <w:p w14:paraId="41911E0F" w14:textId="77777777" w:rsidR="00BA07AF" w:rsidRPr="002B7A44" w:rsidRDefault="00BA07AF" w:rsidP="00BA07AF">
      <w:pPr>
        <w:adjustRightInd w:val="0"/>
        <w:snapToGrid w:val="0"/>
        <w:spacing w:line="480" w:lineRule="auto"/>
        <w:rPr>
          <w:rFonts w:ascii="Times New Roman" w:hAnsi="Times New Roman" w:cs="Times New Roman"/>
          <w:sz w:val="24"/>
        </w:rPr>
      </w:pPr>
      <w:r w:rsidRPr="002B7A44">
        <w:rPr>
          <w:rFonts w:ascii="Times New Roman" w:hAnsi="Times New Roman" w:cs="Times New Roman"/>
          <w:sz w:val="24"/>
        </w:rPr>
        <w:t xml:space="preserve">Aiming to clarify the potential relationship between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 and mRNAs with different expression levels in HCC, co-expression networks of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-mRNAs were established based on Pearson Correlation Coefficient (PCC). The cutoff between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 and mRNAs was set as 0.7 for PCC, and </w:t>
      </w:r>
      <w:r w:rsidRPr="002B7A44">
        <w:rPr>
          <w:rFonts w:ascii="Times New Roman" w:hAnsi="Times New Roman" w:cs="Times New Roman"/>
          <w:i/>
          <w:sz w:val="24"/>
        </w:rPr>
        <w:t>p</w:t>
      </w:r>
      <w:r w:rsidRPr="002B7A44">
        <w:rPr>
          <w:rFonts w:ascii="Times New Roman" w:hAnsi="Times New Roman" w:cs="Times New Roman"/>
          <w:sz w:val="24"/>
        </w:rPr>
        <w:t xml:space="preserve"> value less than 0.05 was considered to be meaningful. The paired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 and mRNAs matching these cutoff </w:t>
      </w:r>
      <w:r w:rsidRPr="002B7A44">
        <w:rPr>
          <w:rFonts w:ascii="Times New Roman" w:hAnsi="Times New Roman" w:cs="Times New Roman"/>
          <w:sz w:val="24"/>
        </w:rPr>
        <w:lastRenderedPageBreak/>
        <w:t xml:space="preserve">conditions were selected and regarded as nodes in the network, and the relationship between these nodes were demonstrated by the PCC value. R package of psych was applied to produce node file and edge file, which were utilized to visualize the co-expression network in </w:t>
      </w:r>
      <w:proofErr w:type="spellStart"/>
      <w:r w:rsidRPr="002B7A44">
        <w:rPr>
          <w:rFonts w:ascii="Times New Roman" w:hAnsi="Times New Roman" w:cs="Times New Roman"/>
          <w:sz w:val="24"/>
        </w:rPr>
        <w:t>Cytoscape</w:t>
      </w:r>
      <w:proofErr w:type="spellEnd"/>
      <w:r w:rsidRPr="002B7A44">
        <w:rPr>
          <w:rFonts w:ascii="Times New Roman" w:hAnsi="Times New Roman" w:cs="Times New Roman"/>
          <w:sz w:val="24"/>
        </w:rPr>
        <w:t xml:space="preserve"> (v. 3.6.0).</w:t>
      </w:r>
    </w:p>
    <w:p w14:paraId="773AF326" w14:textId="77777777" w:rsidR="00BA07AF" w:rsidRPr="002B7A44" w:rsidRDefault="00BA07AF" w:rsidP="00BA07AF">
      <w:pPr>
        <w:adjustRightInd w:val="0"/>
        <w:snapToGrid w:val="0"/>
        <w:spacing w:line="480" w:lineRule="auto"/>
        <w:rPr>
          <w:rFonts w:ascii="Times New Roman" w:hAnsi="Times New Roman" w:cs="Times New Roman"/>
          <w:b/>
          <w:bCs/>
          <w:sz w:val="24"/>
        </w:rPr>
      </w:pPr>
      <w:r w:rsidRPr="002B7A44">
        <w:rPr>
          <w:rFonts w:ascii="Times New Roman" w:hAnsi="Times New Roman" w:cs="Times New Roman"/>
          <w:b/>
          <w:bCs/>
          <w:sz w:val="24"/>
        </w:rPr>
        <w:t>Target predictions of lncRNA and mRNA</w:t>
      </w:r>
    </w:p>
    <w:p w14:paraId="2B8EE082" w14:textId="77777777" w:rsidR="00BA07AF" w:rsidRPr="002B7A44" w:rsidRDefault="00BA07AF" w:rsidP="00BA07AF">
      <w:pPr>
        <w:adjustRightInd w:val="0"/>
        <w:snapToGrid w:val="0"/>
        <w:spacing w:line="480" w:lineRule="auto"/>
        <w:rPr>
          <w:rFonts w:ascii="Times New Roman" w:hAnsi="Times New Roman" w:cs="Times New Roman"/>
          <w:sz w:val="24"/>
        </w:rPr>
      </w:pPr>
      <w:r w:rsidRPr="002B7A44">
        <w:rPr>
          <w:rFonts w:ascii="Times New Roman" w:hAnsi="Times New Roman" w:cs="Times New Roman"/>
          <w:sz w:val="24"/>
        </w:rPr>
        <w:t xml:space="preserve">MiRNAs targeted by </w:t>
      </w:r>
      <w:proofErr w:type="spellStart"/>
      <w:r w:rsidRPr="002B7A44">
        <w:rPr>
          <w:rFonts w:ascii="Times New Roman" w:hAnsi="Times New Roman" w:cs="Times New Roman"/>
          <w:sz w:val="24"/>
        </w:rPr>
        <w:t>lncRNAs</w:t>
      </w:r>
      <w:proofErr w:type="spellEnd"/>
      <w:r w:rsidRPr="002B7A44">
        <w:rPr>
          <w:rFonts w:ascii="Times New Roman" w:hAnsi="Times New Roman" w:cs="Times New Roman"/>
          <w:sz w:val="24"/>
        </w:rPr>
        <w:t xml:space="preserve"> or mRNAs were predicted according to </w:t>
      </w:r>
      <w:proofErr w:type="spellStart"/>
      <w:r w:rsidRPr="002B7A44">
        <w:rPr>
          <w:rFonts w:ascii="Times New Roman" w:hAnsi="Times New Roman" w:cs="Times New Roman"/>
          <w:sz w:val="24"/>
        </w:rPr>
        <w:t>TargetScan</w:t>
      </w:r>
      <w:proofErr w:type="spellEnd"/>
      <w:r w:rsidRPr="002B7A44">
        <w:rPr>
          <w:rFonts w:ascii="Times New Roman" w:hAnsi="Times New Roman" w:cs="Times New Roman"/>
          <w:sz w:val="24"/>
        </w:rPr>
        <w:t xml:space="preserve"> database version 7.2 (http://www.targetscan.org/vert_72/) and </w:t>
      </w:r>
      <w:proofErr w:type="spellStart"/>
      <w:r w:rsidRPr="002B7A44">
        <w:rPr>
          <w:rFonts w:ascii="Times New Roman" w:hAnsi="Times New Roman" w:cs="Times New Roman"/>
          <w:sz w:val="24"/>
        </w:rPr>
        <w:t>miRanda</w:t>
      </w:r>
      <w:proofErr w:type="spellEnd"/>
      <w:r w:rsidRPr="002B7A44">
        <w:rPr>
          <w:rFonts w:ascii="Times New Roman" w:hAnsi="Times New Roman" w:cs="Times New Roman"/>
          <w:sz w:val="24"/>
        </w:rPr>
        <w:t xml:space="preserve"> (http://www.microrna.org/microrna/home.do). Th</w:t>
      </w:r>
      <w:r w:rsidRPr="002B7A44">
        <w:rPr>
          <w:rFonts w:ascii="Times New Roman" w:hAnsi="Times New Roman" w:cs="Times New Roman" w:hint="eastAsia"/>
          <w:sz w:val="24"/>
        </w:rPr>
        <w:t>ose</w:t>
      </w:r>
      <w:r w:rsidRPr="002B7A44">
        <w:rPr>
          <w:rFonts w:ascii="Times New Roman" w:hAnsi="Times New Roman" w:cs="Times New Roman"/>
          <w:sz w:val="24"/>
        </w:rPr>
        <w:t xml:space="preserve"> miRNAs that co-targeted by the certain lncRNA and mRNA were cross-checked in GSE115016 where the miRNA profiles of the same patients in GSE115018 were available. The final result was displayed by </w:t>
      </w:r>
      <w:proofErr w:type="spellStart"/>
      <w:r w:rsidRPr="002B7A44">
        <w:rPr>
          <w:rFonts w:ascii="Times New Roman" w:hAnsi="Times New Roman" w:cs="Times New Roman"/>
          <w:sz w:val="24"/>
        </w:rPr>
        <w:t>Venny</w:t>
      </w:r>
      <w:proofErr w:type="spellEnd"/>
      <w:r w:rsidRPr="002B7A44">
        <w:rPr>
          <w:rFonts w:ascii="Times New Roman" w:hAnsi="Times New Roman" w:cs="Times New Roman"/>
          <w:sz w:val="24"/>
        </w:rPr>
        <w:t xml:space="preserve"> 2.1.0 (http://bioinfogp.cnb.csic.es/tools/venny/).</w:t>
      </w:r>
    </w:p>
    <w:p w14:paraId="23479DB1" w14:textId="77777777" w:rsidR="00BA07AF" w:rsidRPr="002B7A44" w:rsidRDefault="00BA07AF" w:rsidP="00BA07AF">
      <w:pPr>
        <w:adjustRightInd w:val="0"/>
        <w:snapToGrid w:val="0"/>
        <w:spacing w:line="480" w:lineRule="auto"/>
        <w:rPr>
          <w:rFonts w:ascii="Times New Roman" w:hAnsi="Times New Roman" w:cs="Times New Roman"/>
          <w:b/>
          <w:bCs/>
          <w:sz w:val="24"/>
          <w:highlight w:val="yellow"/>
        </w:rPr>
      </w:pPr>
      <w:r w:rsidRPr="002B7A44">
        <w:rPr>
          <w:rFonts w:ascii="Times New Roman" w:hAnsi="Times New Roman" w:cs="Times New Roman"/>
          <w:b/>
          <w:bCs/>
          <w:sz w:val="24"/>
        </w:rPr>
        <w:t>Quantitative real time polymerase chain reaction (</w:t>
      </w:r>
      <w:proofErr w:type="spellStart"/>
      <w:r w:rsidRPr="002B7A44">
        <w:rPr>
          <w:rFonts w:ascii="Times New Roman" w:hAnsi="Times New Roman" w:cs="Times New Roman"/>
          <w:b/>
          <w:bCs/>
          <w:sz w:val="24"/>
        </w:rPr>
        <w:t>qRT</w:t>
      </w:r>
      <w:proofErr w:type="spellEnd"/>
      <w:r w:rsidRPr="002B7A44">
        <w:rPr>
          <w:rFonts w:ascii="Times New Roman" w:hAnsi="Times New Roman" w:cs="Times New Roman"/>
          <w:b/>
          <w:bCs/>
          <w:sz w:val="24"/>
        </w:rPr>
        <w:t>-PCR)</w:t>
      </w:r>
    </w:p>
    <w:p w14:paraId="0D794733" w14:textId="77777777" w:rsidR="00BA07AF" w:rsidRPr="002B7A44" w:rsidRDefault="00BA07AF" w:rsidP="00BA07AF">
      <w:pPr>
        <w:adjustRightInd w:val="0"/>
        <w:snapToGrid w:val="0"/>
        <w:spacing w:line="480" w:lineRule="auto"/>
        <w:rPr>
          <w:rFonts w:ascii="Times New Roman" w:hAnsi="Times New Roman" w:cs="Times New Roman"/>
          <w:sz w:val="24"/>
        </w:rPr>
      </w:pPr>
      <w:r w:rsidRPr="002B7A44">
        <w:rPr>
          <w:rFonts w:ascii="Times New Roman" w:hAnsi="Times New Roman" w:cs="Times New Roman"/>
          <w:sz w:val="24"/>
        </w:rPr>
        <w:t xml:space="preserve">RNA extraction from tissues or cells was performed by </w:t>
      </w:r>
      <w:proofErr w:type="spellStart"/>
      <w:r w:rsidRPr="002B7A44">
        <w:rPr>
          <w:rFonts w:ascii="Times New Roman" w:hAnsi="Times New Roman" w:cs="Times New Roman"/>
          <w:sz w:val="24"/>
        </w:rPr>
        <w:t>TRIzol</w:t>
      </w:r>
      <w:proofErr w:type="spellEnd"/>
      <w:r w:rsidRPr="002B7A44">
        <w:rPr>
          <w:rFonts w:ascii="Times New Roman" w:hAnsi="Times New Roman" w:cs="Times New Roman"/>
          <w:sz w:val="24"/>
        </w:rPr>
        <w:t xml:space="preserve"> reagent (Invitrogen, Carlsbad, CA, USA) under the instruction of the manufacturer. After that, reverse transfection of total RNA into complementary DNA (cDNA) was conducted by the M-MLV Reverse Transcriptase (Thermo Fisher Scientific, Waltham, MA, USA) in according with the direction of manufacturer. </w:t>
      </w:r>
      <w:r w:rsidRPr="002B7A44">
        <w:rPr>
          <w:rFonts w:ascii="Times New Roman" w:eastAsia="宋体" w:hAnsi="Times New Roman" w:cs="Times New Roman"/>
          <w:sz w:val="24"/>
        </w:rPr>
        <w:t>Specifically, for quantification of miRNAs, miRNA was reverse-transcribed using the Mir-XTM miRNA First-Strand Synthesis Kit (</w:t>
      </w:r>
      <w:proofErr w:type="spellStart"/>
      <w:r w:rsidRPr="002B7A44">
        <w:rPr>
          <w:rFonts w:ascii="Times New Roman" w:eastAsia="宋体" w:hAnsi="Times New Roman" w:cs="Times New Roman"/>
          <w:sz w:val="24"/>
        </w:rPr>
        <w:t>TaKaRa</w:t>
      </w:r>
      <w:proofErr w:type="spellEnd"/>
      <w:r w:rsidRPr="002B7A44">
        <w:rPr>
          <w:rFonts w:ascii="Times New Roman" w:eastAsia="宋体" w:hAnsi="Times New Roman" w:cs="Times New Roman"/>
          <w:sz w:val="24"/>
        </w:rPr>
        <w:t xml:space="preserve">, China) following the protocol. ABI 7500 RT-PCR System (Applied Biosystems, CA, USA) with SYBR Premix Ex Taq (Takara, China) was used to perform </w:t>
      </w:r>
      <w:proofErr w:type="spellStart"/>
      <w:r w:rsidRPr="002B7A44">
        <w:rPr>
          <w:rFonts w:ascii="Times New Roman" w:eastAsia="宋体" w:hAnsi="Times New Roman" w:cs="Times New Roman"/>
          <w:sz w:val="24"/>
        </w:rPr>
        <w:t>qRT</w:t>
      </w:r>
      <w:proofErr w:type="spellEnd"/>
      <w:r w:rsidRPr="002B7A44">
        <w:rPr>
          <w:rFonts w:ascii="Times New Roman" w:eastAsia="宋体" w:hAnsi="Times New Roman" w:cs="Times New Roman"/>
          <w:sz w:val="24"/>
        </w:rPr>
        <w:t xml:space="preserve">-PCR based on the guidance of </w:t>
      </w:r>
      <w:r w:rsidRPr="002B7A44">
        <w:rPr>
          <w:rFonts w:ascii="Times New Roman" w:hAnsi="Times New Roman" w:cs="Times New Roman"/>
          <w:sz w:val="24"/>
        </w:rPr>
        <w:t>manufacturer</w:t>
      </w:r>
      <w:r w:rsidRPr="002B7A44">
        <w:rPr>
          <w:rFonts w:ascii="Times New Roman" w:eastAsia="宋体" w:hAnsi="Times New Roman" w:cs="Times New Roman"/>
          <w:sz w:val="24"/>
        </w:rPr>
        <w:t xml:space="preserve">. </w:t>
      </w:r>
      <w:r w:rsidRPr="002B7A44">
        <w:rPr>
          <w:rFonts w:ascii="Times New Roman" w:hAnsi="Times New Roman" w:cs="Times New Roman"/>
          <w:sz w:val="24"/>
        </w:rPr>
        <w:t xml:space="preserve">The sequences of primers were demonstrated in </w:t>
      </w:r>
      <w:r w:rsidRPr="00DC6955">
        <w:rPr>
          <w:rFonts w:ascii="Times New Roman" w:hAnsi="Times New Roman" w:cs="Times New Roman"/>
          <w:color w:val="0000FF"/>
          <w:kern w:val="0"/>
          <w:sz w:val="24"/>
        </w:rPr>
        <w:t>Supplementary</w:t>
      </w:r>
      <w:r w:rsidRPr="002B7A44">
        <w:rPr>
          <w:rFonts w:ascii="Times New Roman" w:hAnsi="Times New Roman" w:cs="Times New Roman"/>
          <w:color w:val="0000FF"/>
          <w:sz w:val="24"/>
        </w:rPr>
        <w:t xml:space="preserve"> Table </w:t>
      </w:r>
      <w:r>
        <w:rPr>
          <w:rFonts w:ascii="Times New Roman" w:hAnsi="Times New Roman" w:cs="Times New Roman"/>
          <w:color w:val="0000FF"/>
          <w:sz w:val="24"/>
        </w:rPr>
        <w:t>S2</w:t>
      </w:r>
      <w:r w:rsidRPr="002B7A44">
        <w:rPr>
          <w:rFonts w:ascii="Times New Roman" w:hAnsi="Times New Roman" w:cs="Times New Roman"/>
          <w:sz w:val="24"/>
        </w:rPr>
        <w:t xml:space="preserve">. The relative RNA expressions were quantified using the </w:t>
      </w:r>
      <m:oMath>
        <m:sSup>
          <m:sSupPr>
            <m:ctrlPr>
              <w:rPr>
                <w:rFonts w:ascii="Cambria Math" w:hAnsi="Cambria Math" w:cs="Times New Roman"/>
                <w:sz w:val="24"/>
              </w:rPr>
            </m:ctrlPr>
          </m:sSupPr>
          <m:e>
            <m:r>
              <m:rPr>
                <m:sty m:val="p"/>
              </m:rPr>
              <w:rPr>
                <w:rFonts w:ascii="Cambria Math" w:hAnsi="Cambria Math" w:cs="Times New Roman"/>
                <w:sz w:val="24"/>
              </w:rPr>
              <m:t>2</m:t>
            </m:r>
          </m:e>
          <m:sup>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C</m:t>
                </m:r>
              </m:e>
              <m:sub>
                <m:r>
                  <m:rPr>
                    <m:sty m:val="p"/>
                  </m:rPr>
                  <w:rPr>
                    <w:rFonts w:ascii="Cambria Math" w:hAnsi="Cambria Math" w:cs="Times New Roman"/>
                    <w:sz w:val="24"/>
                  </w:rPr>
                  <m:t>t</m:t>
                </m:r>
              </m:sub>
            </m:sSub>
            <m:r>
              <m:rPr>
                <m:sty m:val="p"/>
              </m:rPr>
              <w:rPr>
                <w:rFonts w:ascii="Cambria Math" w:hAnsi="Cambria Math" w:cs="Times New Roman"/>
                <w:sz w:val="24"/>
              </w:rPr>
              <m:t>)</m:t>
            </m:r>
          </m:sup>
        </m:sSup>
      </m:oMath>
      <w:r w:rsidRPr="002B7A44">
        <w:rPr>
          <w:rFonts w:ascii="Times New Roman" w:hAnsi="Times New Roman" w:cs="Times New Roman"/>
          <w:sz w:val="24"/>
        </w:rPr>
        <w:t xml:space="preserve"> method. </w:t>
      </w:r>
      <w:r w:rsidRPr="002B7A44">
        <w:rPr>
          <w:rFonts w:ascii="Times New Roman" w:eastAsia="宋体" w:hAnsi="Times New Roman" w:cs="Times New Roman"/>
          <w:sz w:val="24"/>
        </w:rPr>
        <w:t>Each sample was independently analyzed in triplicate.</w:t>
      </w:r>
    </w:p>
    <w:p w14:paraId="00AD3657" w14:textId="77777777" w:rsidR="00BA07AF" w:rsidRPr="002B7A44" w:rsidRDefault="00BA07AF" w:rsidP="00BA07AF">
      <w:pPr>
        <w:adjustRightInd w:val="0"/>
        <w:snapToGrid w:val="0"/>
        <w:spacing w:line="480" w:lineRule="auto"/>
        <w:rPr>
          <w:rFonts w:ascii="Times New Roman" w:hAnsi="Times New Roman" w:cs="Times New Roman"/>
          <w:b/>
          <w:bCs/>
          <w:sz w:val="24"/>
        </w:rPr>
      </w:pPr>
      <w:r w:rsidRPr="002B7A44">
        <w:rPr>
          <w:rFonts w:ascii="Times New Roman" w:hAnsi="Times New Roman" w:cs="Times New Roman"/>
          <w:b/>
          <w:bCs/>
          <w:sz w:val="24"/>
        </w:rPr>
        <w:t>Western blot</w:t>
      </w:r>
    </w:p>
    <w:p w14:paraId="100A4DAC" w14:textId="77777777" w:rsidR="00BA07AF" w:rsidRPr="002B7A44" w:rsidRDefault="00BA07AF" w:rsidP="00BA07AF">
      <w:pPr>
        <w:adjustRightInd w:val="0"/>
        <w:snapToGrid w:val="0"/>
        <w:spacing w:line="480" w:lineRule="auto"/>
        <w:rPr>
          <w:rFonts w:ascii="Times New Roman" w:hAnsi="Times New Roman" w:cs="Times New Roman"/>
          <w:b/>
          <w:kern w:val="0"/>
          <w:sz w:val="24"/>
        </w:rPr>
      </w:pPr>
      <w:r w:rsidRPr="002B7A44">
        <w:rPr>
          <w:rFonts w:ascii="Times New Roman" w:hAnsi="Times New Roman" w:cs="Times New Roman"/>
          <w:sz w:val="24"/>
        </w:rPr>
        <w:lastRenderedPageBreak/>
        <w:t>Total proteins were extracted from cells or tissues, and protein concentration was estimated by a Bradford protein assay kit (</w:t>
      </w:r>
      <w:proofErr w:type="spellStart"/>
      <w:r w:rsidRPr="002B7A44">
        <w:rPr>
          <w:rFonts w:ascii="Times New Roman" w:hAnsi="Times New Roman" w:cs="Times New Roman"/>
          <w:sz w:val="24"/>
        </w:rPr>
        <w:t>Beyotime</w:t>
      </w:r>
      <w:proofErr w:type="spellEnd"/>
      <w:r w:rsidRPr="002B7A44">
        <w:rPr>
          <w:rFonts w:ascii="Times New Roman" w:hAnsi="Times New Roman" w:cs="Times New Roman"/>
          <w:sz w:val="24"/>
        </w:rPr>
        <w:t xml:space="preserve">, Shanghai, China). Approximate 50 </w:t>
      </w:r>
      <w:proofErr w:type="spellStart"/>
      <w:r w:rsidRPr="002B7A44">
        <w:rPr>
          <w:rFonts w:ascii="Times New Roman" w:hAnsi="Times New Roman" w:cs="Times New Roman"/>
          <w:sz w:val="24"/>
        </w:rPr>
        <w:t>μg</w:t>
      </w:r>
      <w:proofErr w:type="spellEnd"/>
      <w:r w:rsidRPr="002B7A44">
        <w:rPr>
          <w:rFonts w:ascii="Times New Roman" w:hAnsi="Times New Roman" w:cs="Times New Roman"/>
          <w:sz w:val="24"/>
        </w:rPr>
        <w:t xml:space="preserve"> of protein was separated using 10% sodium dodecyl sulfate polyacrylamide gel electrophoresis (SDS-PAGE) and electro-transferred onto nitrocellulose membranes. 5% fat-free dry milk in tris-buffered saline supplemented 0.1% Tween-20 (TBST) were added to the membranes for 1.5 hours at room temperature (RT) in order to block non-specific antigen. Thereafter, the membranes were incubated with the primary antibodies against </w:t>
      </w:r>
      <w:r w:rsidRPr="00263BB0">
        <w:rPr>
          <w:rFonts w:ascii="Times New Roman" w:hAnsi="Times New Roman" w:cs="Times New Roman"/>
          <w:color w:val="000000" w:themeColor="text1"/>
          <w:sz w:val="24"/>
        </w:rPr>
        <w:t xml:space="preserve">CDK4 (1:2000, Abcam, </w:t>
      </w:r>
      <w:bookmarkStart w:id="4" w:name="OLE_LINK39"/>
      <w:bookmarkStart w:id="5" w:name="OLE_LINK40"/>
      <w:r w:rsidRPr="00263BB0">
        <w:rPr>
          <w:rFonts w:ascii="Times New Roman" w:hAnsi="Times New Roman" w:cs="Times New Roman"/>
          <w:color w:val="000000" w:themeColor="text1"/>
          <w:sz w:val="24"/>
        </w:rPr>
        <w:t>ab137675</w:t>
      </w:r>
      <w:bookmarkEnd w:id="4"/>
      <w:bookmarkEnd w:id="5"/>
      <w:r w:rsidRPr="00263BB0">
        <w:rPr>
          <w:rFonts w:ascii="Times New Roman" w:hAnsi="Times New Roman" w:cs="Times New Roman"/>
          <w:color w:val="000000" w:themeColor="text1"/>
          <w:sz w:val="24"/>
        </w:rPr>
        <w:t>)</w:t>
      </w:r>
      <w:r w:rsidRPr="00263BB0">
        <w:rPr>
          <w:rFonts w:ascii="Times New Roman" w:hAnsi="Times New Roman" w:cs="Times New Roman" w:hint="eastAsia"/>
          <w:color w:val="000000" w:themeColor="text1"/>
          <w:sz w:val="24"/>
        </w:rPr>
        <w:t>,</w:t>
      </w:r>
      <w:r w:rsidRPr="00263BB0">
        <w:rPr>
          <w:rFonts w:ascii="Times New Roman" w:hAnsi="Times New Roman" w:cs="Times New Roman"/>
          <w:color w:val="000000" w:themeColor="text1"/>
          <w:sz w:val="24"/>
        </w:rPr>
        <w:t xml:space="preserve"> CCND1 (1:1000, Abcam, ab134175) CDKN1A (1:2000, Abcam, ab109520), CDKN2B (1:2000, Abcam, ab53034) </w:t>
      </w:r>
      <w:proofErr w:type="spellStart"/>
      <w:r w:rsidRPr="00263BB0">
        <w:rPr>
          <w:rFonts w:ascii="Times New Roman" w:hAnsi="Times New Roman" w:cs="Times New Roman"/>
          <w:color w:val="000000" w:themeColor="text1"/>
          <w:sz w:val="24"/>
        </w:rPr>
        <w:t>Rb</w:t>
      </w:r>
      <w:proofErr w:type="spellEnd"/>
      <w:r>
        <w:rPr>
          <w:rFonts w:ascii="Times New Roman" w:hAnsi="Times New Roman" w:cs="Times New Roman"/>
          <w:color w:val="000000" w:themeColor="text1"/>
          <w:sz w:val="24"/>
        </w:rPr>
        <w:t xml:space="preserve"> </w:t>
      </w:r>
      <w:r w:rsidRPr="00263BB0">
        <w:rPr>
          <w:rFonts w:ascii="Times New Roman" w:hAnsi="Times New Roman" w:cs="Times New Roman"/>
          <w:color w:val="000000" w:themeColor="text1"/>
          <w:sz w:val="24"/>
        </w:rPr>
        <w:t xml:space="preserve">(1:1000, Abcam, ab17512), </w:t>
      </w:r>
      <w:r w:rsidRPr="00263BB0">
        <w:rPr>
          <w:rFonts w:ascii="Times New Roman" w:hAnsi="Times New Roman" w:cs="Times New Roman" w:hint="eastAsia"/>
          <w:color w:val="000000" w:themeColor="text1"/>
          <w:sz w:val="24"/>
        </w:rPr>
        <w:t>p-</w:t>
      </w:r>
      <w:proofErr w:type="spellStart"/>
      <w:r w:rsidRPr="00263BB0">
        <w:rPr>
          <w:rFonts w:ascii="Times New Roman" w:hAnsi="Times New Roman" w:cs="Times New Roman"/>
          <w:color w:val="000000" w:themeColor="text1"/>
          <w:sz w:val="24"/>
        </w:rPr>
        <w:t>R</w:t>
      </w:r>
      <w:r w:rsidRPr="00263BB0">
        <w:rPr>
          <w:rFonts w:ascii="Times New Roman" w:hAnsi="Times New Roman" w:cs="Times New Roman" w:hint="eastAsia"/>
          <w:color w:val="000000" w:themeColor="text1"/>
          <w:sz w:val="24"/>
        </w:rPr>
        <w:t>b</w:t>
      </w:r>
      <w:proofErr w:type="spellEnd"/>
      <w:r w:rsidRPr="00263BB0">
        <w:rPr>
          <w:rFonts w:ascii="Times New Roman" w:hAnsi="Times New Roman" w:cs="Times New Roman"/>
          <w:color w:val="000000" w:themeColor="text1"/>
          <w:sz w:val="24"/>
        </w:rPr>
        <w:t xml:space="preserve"> (1:1000, Abcam, ab47474), E2F1 (1:2000, Abcam, ab112580)</w:t>
      </w:r>
      <w:r>
        <w:rPr>
          <w:rFonts w:ascii="Times New Roman" w:hAnsi="Times New Roman" w:cs="Times New Roman"/>
          <w:color w:val="000000" w:themeColor="text1"/>
          <w:sz w:val="24"/>
        </w:rPr>
        <w:t>,</w:t>
      </w:r>
      <w:r w:rsidRPr="00263BB0">
        <w:rPr>
          <w:rFonts w:ascii="Times New Roman" w:hAnsi="Times New Roman" w:cs="Times New Roman"/>
          <w:color w:val="000000" w:themeColor="text1"/>
          <w:sz w:val="24"/>
        </w:rPr>
        <w:t xml:space="preserve"> </w:t>
      </w:r>
      <w:r w:rsidRPr="00A75124">
        <w:rPr>
          <w:rFonts w:ascii="Times New Roman" w:hAnsi="Times New Roman" w:cs="Times New Roman"/>
          <w:sz w:val="24"/>
          <w:lang w:val="it-IT"/>
        </w:rPr>
        <w:t>E-cadherin (1:1000, Abcam, ab1416</w:t>
      </w:r>
      <w:r w:rsidRPr="00A75124">
        <w:rPr>
          <w:rFonts w:ascii="Times New Roman" w:hAnsi="Times New Roman" w:cs="Times New Roman"/>
          <w:sz w:val="24"/>
        </w:rPr>
        <w:t xml:space="preserve">), </w:t>
      </w:r>
      <w:r w:rsidRPr="00A75124">
        <w:rPr>
          <w:rFonts w:ascii="Times New Roman" w:hAnsi="Times New Roman" w:cs="Times New Roman"/>
          <w:sz w:val="24"/>
          <w:lang w:val="it-IT"/>
        </w:rPr>
        <w:t>N-cadherin (1:1000, Abcam, ab76057</w:t>
      </w:r>
      <w:r w:rsidRPr="00A75124">
        <w:rPr>
          <w:rFonts w:ascii="Times New Roman" w:hAnsi="Times New Roman" w:cs="Times New Roman"/>
          <w:sz w:val="24"/>
        </w:rPr>
        <w:t>), Vimentin (1:</w:t>
      </w:r>
      <w:r>
        <w:rPr>
          <w:rFonts w:ascii="Times New Roman" w:hAnsi="Times New Roman" w:cs="Times New Roman"/>
          <w:sz w:val="24"/>
        </w:rPr>
        <w:t>2</w:t>
      </w:r>
      <w:r w:rsidRPr="00A75124">
        <w:rPr>
          <w:rFonts w:ascii="Times New Roman" w:hAnsi="Times New Roman" w:cs="Times New Roman"/>
          <w:sz w:val="24"/>
        </w:rPr>
        <w:t xml:space="preserve">000, Abcam, ab92547) </w:t>
      </w:r>
      <w:r w:rsidRPr="00263BB0">
        <w:rPr>
          <w:rFonts w:ascii="Times New Roman" w:hAnsi="Times New Roman" w:cs="Times New Roman"/>
          <w:color w:val="000000" w:themeColor="text1"/>
          <w:sz w:val="24"/>
        </w:rPr>
        <w:t>and GAPDH (1:5000, Abcam, ab9485)</w:t>
      </w:r>
      <w:r w:rsidRPr="00DC6955">
        <w:rPr>
          <w:rFonts w:ascii="Times New Roman" w:hAnsi="Times New Roman" w:cs="Times New Roman"/>
          <w:color w:val="000000" w:themeColor="text1"/>
          <w:sz w:val="24"/>
        </w:rPr>
        <w:t xml:space="preserve"> </w:t>
      </w:r>
      <w:r w:rsidRPr="002B7A44">
        <w:rPr>
          <w:rFonts w:ascii="Times New Roman" w:hAnsi="Times New Roman" w:cs="Times New Roman"/>
          <w:sz w:val="24"/>
        </w:rPr>
        <w:t>at 4°C overnight. After incubation, the membranes were washed by TBST and then incubated with secondary IgG-HRP (1: 5000</w:t>
      </w:r>
      <w:r w:rsidRPr="002B7A44">
        <w:rPr>
          <w:rFonts w:ascii="Times New Roman" w:hAnsi="Times New Roman" w:cs="Times New Roman" w:hint="eastAsia"/>
          <w:sz w:val="24"/>
        </w:rPr>
        <w:t>,</w:t>
      </w:r>
      <w:r w:rsidRPr="002B7A44">
        <w:rPr>
          <w:rFonts w:ascii="Times New Roman" w:hAnsi="Times New Roman" w:cs="Times New Roman"/>
          <w:color w:val="FF0000"/>
          <w:sz w:val="24"/>
        </w:rPr>
        <w:t xml:space="preserve"> </w:t>
      </w:r>
      <w:r w:rsidRPr="002B7A44">
        <w:rPr>
          <w:rFonts w:ascii="Times New Roman" w:hAnsi="Times New Roman" w:cs="Times New Roman"/>
          <w:sz w:val="24"/>
        </w:rPr>
        <w:t>Abcam, ab7090</w:t>
      </w:r>
      <w:r>
        <w:rPr>
          <w:rFonts w:ascii="Times New Roman" w:hAnsi="Times New Roman" w:cs="Times New Roman"/>
          <w:sz w:val="24"/>
        </w:rPr>
        <w:t>/ab205719</w:t>
      </w:r>
      <w:r w:rsidRPr="002B7A44">
        <w:rPr>
          <w:rFonts w:ascii="Times New Roman" w:hAnsi="Times New Roman" w:cs="Times New Roman"/>
          <w:sz w:val="24"/>
        </w:rPr>
        <w:t>) for 2 hours at RT. Enhanced chemiluminescence reagent (Pierce, Rockford, IL, USA) was used to visualize the protein bands.</w:t>
      </w:r>
    </w:p>
    <w:p w14:paraId="76527D73" w14:textId="77777777" w:rsidR="00BA07AF" w:rsidRPr="002B7A44" w:rsidRDefault="00BA07AF" w:rsidP="00BA07AF">
      <w:pPr>
        <w:adjustRightInd w:val="0"/>
        <w:snapToGrid w:val="0"/>
        <w:spacing w:line="480" w:lineRule="auto"/>
        <w:rPr>
          <w:rFonts w:ascii="Times New Roman" w:hAnsi="Times New Roman" w:cs="Times New Roman"/>
          <w:b/>
          <w:sz w:val="24"/>
        </w:rPr>
      </w:pPr>
      <w:r w:rsidRPr="002B7A44">
        <w:rPr>
          <w:rFonts w:ascii="Times New Roman" w:hAnsi="Times New Roman" w:cs="Times New Roman"/>
          <w:b/>
          <w:sz w:val="24"/>
        </w:rPr>
        <w:t>MTT assay</w:t>
      </w:r>
    </w:p>
    <w:p w14:paraId="55A3926F" w14:textId="77777777" w:rsidR="00BA07AF" w:rsidRPr="002B7A44" w:rsidRDefault="00BA07AF" w:rsidP="00BA07AF">
      <w:pPr>
        <w:adjustRightInd w:val="0"/>
        <w:snapToGrid w:val="0"/>
        <w:spacing w:line="480" w:lineRule="auto"/>
        <w:rPr>
          <w:rFonts w:ascii="Times New Roman" w:hAnsi="Times New Roman" w:cs="Times New Roman"/>
          <w:bCs/>
          <w:sz w:val="24"/>
        </w:rPr>
      </w:pPr>
      <w:bookmarkStart w:id="6" w:name="OLE_LINK48"/>
      <w:bookmarkStart w:id="7" w:name="OLE_LINK49"/>
      <w:r w:rsidRPr="002B7A44">
        <w:rPr>
          <w:rFonts w:ascii="Times New Roman" w:hAnsi="Times New Roman" w:cs="Times New Roman"/>
          <w:bCs/>
          <w:sz w:val="24"/>
        </w:rPr>
        <w:t>Cell Proliferation Reagent Kit I (MTT) (Roche, Basel, Switzerland) was employed to monitor the viability of cells. Cells were plated in 96-well plates and all the process were carried out under the manufacture’s protocol. Cell proliferation was observed and evaluated every 24h. Absorbance was recorded at 570nm.</w:t>
      </w:r>
    </w:p>
    <w:bookmarkEnd w:id="6"/>
    <w:bookmarkEnd w:id="7"/>
    <w:p w14:paraId="7F3592E6" w14:textId="77777777" w:rsidR="00BA07AF" w:rsidRPr="002B7A44" w:rsidRDefault="00BA07AF" w:rsidP="00BA07AF">
      <w:pPr>
        <w:adjustRightInd w:val="0"/>
        <w:snapToGrid w:val="0"/>
        <w:spacing w:line="480" w:lineRule="auto"/>
        <w:rPr>
          <w:rFonts w:ascii="Times New Roman" w:hAnsi="Times New Roman" w:cs="Times New Roman"/>
          <w:b/>
          <w:bCs/>
          <w:sz w:val="24"/>
        </w:rPr>
      </w:pPr>
      <w:r w:rsidRPr="002B7A44">
        <w:rPr>
          <w:rFonts w:ascii="Times New Roman" w:hAnsi="Times New Roman" w:cs="Times New Roman"/>
          <w:b/>
          <w:sz w:val="24"/>
        </w:rPr>
        <w:t>Wound healing assay</w:t>
      </w:r>
    </w:p>
    <w:p w14:paraId="455174F2" w14:textId="77777777" w:rsidR="00BA07AF" w:rsidRPr="002B7A44" w:rsidRDefault="00BA07AF" w:rsidP="00BA07AF">
      <w:pPr>
        <w:adjustRightInd w:val="0"/>
        <w:snapToGrid w:val="0"/>
        <w:spacing w:line="480" w:lineRule="auto"/>
        <w:rPr>
          <w:rFonts w:ascii="Times New Roman" w:hAnsi="Times New Roman" w:cs="Times New Roman"/>
          <w:sz w:val="24"/>
        </w:rPr>
      </w:pPr>
      <w:r w:rsidRPr="002B7A44">
        <w:rPr>
          <w:rFonts w:ascii="Times New Roman" w:hAnsi="Times New Roman" w:cs="Times New Roman"/>
          <w:sz w:val="24"/>
        </w:rPr>
        <w:t xml:space="preserve">Cell migration was determined by wound healing assay. Transfected </w:t>
      </w:r>
      <w:r w:rsidRPr="002B7A44">
        <w:rPr>
          <w:rFonts w:ascii="Times New Roman" w:hAnsi="Times New Roman" w:cs="Times New Roman"/>
          <w:kern w:val="0"/>
          <w:sz w:val="24"/>
        </w:rPr>
        <w:t>cells</w:t>
      </w:r>
      <w:r w:rsidRPr="002B7A44">
        <w:rPr>
          <w:rFonts w:ascii="Times New Roman" w:hAnsi="Times New Roman" w:cs="Times New Roman"/>
          <w:sz w:val="24"/>
        </w:rPr>
        <w:t xml:space="preserve"> were planted into a 24-well plate and then cultured to 90% confluence. Plastic pipette tip was used to produce a wound in the cell monolayer. Then, cells were washed by PBS. </w:t>
      </w:r>
      <w:r w:rsidRPr="002B7A44">
        <w:rPr>
          <w:rFonts w:ascii="Times New Roman" w:hAnsi="Times New Roman" w:cs="Times New Roman"/>
          <w:sz w:val="24"/>
        </w:rPr>
        <w:lastRenderedPageBreak/>
        <w:t xml:space="preserve">Loose cells were removed and incubated for 36 hours at 37°C. Images were recorded at 0 hours and </w:t>
      </w:r>
      <w:r>
        <w:rPr>
          <w:rFonts w:ascii="Times New Roman" w:hAnsi="Times New Roman" w:cs="Times New Roman"/>
          <w:sz w:val="24"/>
        </w:rPr>
        <w:t>48</w:t>
      </w:r>
      <w:r w:rsidRPr="002B7A44">
        <w:rPr>
          <w:rFonts w:ascii="Times New Roman" w:hAnsi="Times New Roman" w:cs="Times New Roman"/>
          <w:sz w:val="24"/>
        </w:rPr>
        <w:t xml:space="preserve"> hours, respectively. Cell migratory distance was determined by Image-Pro Plus software (version 3.0; Media Cybernetics).</w:t>
      </w:r>
    </w:p>
    <w:p w14:paraId="61003743" w14:textId="77777777" w:rsidR="00BA07AF" w:rsidRPr="002B7A44" w:rsidRDefault="00BA07AF" w:rsidP="00BA07AF">
      <w:pPr>
        <w:adjustRightInd w:val="0"/>
        <w:snapToGrid w:val="0"/>
        <w:spacing w:line="480" w:lineRule="auto"/>
        <w:rPr>
          <w:rFonts w:ascii="Times New Roman" w:hAnsi="Times New Roman" w:cs="Times New Roman"/>
          <w:sz w:val="24"/>
        </w:rPr>
      </w:pPr>
      <w:proofErr w:type="spellStart"/>
      <w:r w:rsidRPr="002B7A44">
        <w:rPr>
          <w:rFonts w:ascii="Times New Roman" w:hAnsi="Times New Roman" w:cs="Times New Roman"/>
          <w:b/>
          <w:bCs/>
          <w:sz w:val="24"/>
        </w:rPr>
        <w:t>Transwell</w:t>
      </w:r>
      <w:proofErr w:type="spellEnd"/>
      <w:r w:rsidRPr="002B7A44">
        <w:rPr>
          <w:rFonts w:ascii="Times New Roman" w:hAnsi="Times New Roman" w:cs="Times New Roman"/>
          <w:b/>
          <w:bCs/>
          <w:sz w:val="24"/>
        </w:rPr>
        <w:t xml:space="preserve"> invasion assay</w:t>
      </w:r>
    </w:p>
    <w:p w14:paraId="6054ECE4" w14:textId="77777777" w:rsidR="00BA07AF" w:rsidRDefault="00BA07AF" w:rsidP="00BA07AF">
      <w:pPr>
        <w:adjustRightInd w:val="0"/>
        <w:snapToGrid w:val="0"/>
        <w:spacing w:line="480" w:lineRule="auto"/>
        <w:rPr>
          <w:rFonts w:ascii="Times New Roman" w:hAnsi="Times New Roman" w:cs="Times New Roman"/>
          <w:sz w:val="24"/>
        </w:rPr>
      </w:pPr>
      <w:r w:rsidRPr="002B7A44">
        <w:rPr>
          <w:rFonts w:ascii="Times New Roman" w:hAnsi="Times New Roman" w:cs="Times New Roman"/>
          <w:sz w:val="24"/>
        </w:rPr>
        <w:t>To identify cells invasive ability, 1 × 10</w:t>
      </w:r>
      <w:r w:rsidRPr="002B7A44">
        <w:rPr>
          <w:rFonts w:ascii="Times New Roman" w:hAnsi="Times New Roman" w:cs="Times New Roman"/>
          <w:sz w:val="24"/>
          <w:vertAlign w:val="superscript"/>
        </w:rPr>
        <w:t>5</w:t>
      </w:r>
      <w:r w:rsidRPr="002B7A44">
        <w:rPr>
          <w:rFonts w:ascii="Times New Roman" w:hAnsi="Times New Roman" w:cs="Times New Roman"/>
          <w:sz w:val="24"/>
        </w:rPr>
        <w:t xml:space="preserve"> cells were seeded in the top chamber of </w:t>
      </w:r>
      <w:bookmarkStart w:id="8" w:name="OLE_LINK5"/>
      <w:proofErr w:type="spellStart"/>
      <w:r w:rsidRPr="002B7A44">
        <w:rPr>
          <w:rFonts w:ascii="Times New Roman" w:hAnsi="Times New Roman" w:cs="Times New Roman"/>
          <w:sz w:val="24"/>
        </w:rPr>
        <w:t>transwell</w:t>
      </w:r>
      <w:proofErr w:type="spellEnd"/>
      <w:r w:rsidRPr="002B7A44">
        <w:rPr>
          <w:rFonts w:ascii="Times New Roman" w:hAnsi="Times New Roman" w:cs="Times New Roman"/>
          <w:sz w:val="24"/>
        </w:rPr>
        <w:t xml:space="preserve"> plates</w:t>
      </w:r>
      <w:bookmarkEnd w:id="8"/>
      <w:r w:rsidRPr="002B7A44">
        <w:rPr>
          <w:rFonts w:ascii="Times New Roman" w:hAnsi="Times New Roman" w:cs="Times New Roman"/>
          <w:sz w:val="24"/>
        </w:rPr>
        <w:t xml:space="preserve"> (8.0 </w:t>
      </w:r>
      <w:proofErr w:type="spellStart"/>
      <w:r w:rsidRPr="002B7A44">
        <w:rPr>
          <w:rFonts w:ascii="Times New Roman" w:eastAsia="宋体" w:hAnsi="Times New Roman" w:cs="Times New Roman"/>
          <w:sz w:val="24"/>
        </w:rPr>
        <w:t>μ</w:t>
      </w:r>
      <w:r w:rsidRPr="002B7A44">
        <w:rPr>
          <w:rFonts w:ascii="Times New Roman" w:hAnsi="Times New Roman" w:cs="Times New Roman"/>
          <w:sz w:val="24"/>
        </w:rPr>
        <w:t>m</w:t>
      </w:r>
      <w:proofErr w:type="spellEnd"/>
      <w:r w:rsidRPr="002B7A44">
        <w:rPr>
          <w:rFonts w:ascii="Times New Roman" w:hAnsi="Times New Roman" w:cs="Times New Roman"/>
          <w:sz w:val="24"/>
        </w:rPr>
        <w:t xml:space="preserve">, polycarbonate membrane, </w:t>
      </w:r>
      <w:proofErr w:type="spellStart"/>
      <w:r w:rsidRPr="002B7A44">
        <w:rPr>
          <w:rFonts w:ascii="Times New Roman" w:hAnsi="Times New Roman" w:cs="Times New Roman"/>
          <w:sz w:val="24"/>
        </w:rPr>
        <w:t>Chemicon</w:t>
      </w:r>
      <w:proofErr w:type="spellEnd"/>
      <w:r w:rsidRPr="002B7A44">
        <w:rPr>
          <w:rFonts w:ascii="Times New Roman" w:hAnsi="Times New Roman" w:cs="Times New Roman"/>
          <w:sz w:val="24"/>
        </w:rPr>
        <w:t>, Temecula, CA, USA). 2 mg</w:t>
      </w:r>
      <w:r>
        <w:rPr>
          <w:rFonts w:ascii="Times New Roman" w:hAnsi="Times New Roman" w:cs="Times New Roman"/>
          <w:sz w:val="24"/>
        </w:rPr>
        <w:t>/</w:t>
      </w:r>
      <w:r w:rsidRPr="002B7A44">
        <w:rPr>
          <w:rFonts w:ascii="Times New Roman" w:hAnsi="Times New Roman" w:cs="Times New Roman"/>
          <w:sz w:val="24"/>
        </w:rPr>
        <w:t xml:space="preserve">ml Matrigel was inserted. The lower chamber was added with DMEM supplemented with 10% FBS. Cells in the top-chamber were incubated for </w:t>
      </w:r>
      <w:r>
        <w:rPr>
          <w:rFonts w:ascii="Times New Roman" w:hAnsi="Times New Roman" w:cs="Times New Roman"/>
          <w:sz w:val="24"/>
        </w:rPr>
        <w:t>48</w:t>
      </w:r>
      <w:r w:rsidRPr="002B7A44">
        <w:rPr>
          <w:rFonts w:ascii="Times New Roman" w:hAnsi="Times New Roman" w:cs="Times New Roman"/>
          <w:sz w:val="24"/>
        </w:rPr>
        <w:t xml:space="preserve"> hours. Cotton swab was used to remove cells that did not invade through the polycarbonate membrane, while those invaded through the polycarbonate membrane were fixed with 20% methanol. Fixed cells were stained with 0.2% crystal violet. Cells were counted by using a microscope (Olympus, Tokyo, Japan) to determine the cell invasive ability.</w:t>
      </w:r>
    </w:p>
    <w:p w14:paraId="6946276F" w14:textId="77777777" w:rsidR="003A0743" w:rsidRPr="00BA07AF" w:rsidRDefault="00BA07AF"/>
    <w:sectPr w:rsidR="003A0743" w:rsidRPr="00BA07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AF"/>
    <w:rsid w:val="00180557"/>
    <w:rsid w:val="004C0963"/>
    <w:rsid w:val="00BA07AF"/>
    <w:rsid w:val="00E30EA3"/>
    <w:rsid w:val="00E70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7D53"/>
  <w15:chartTrackingRefBased/>
  <w15:docId w15:val="{308E7373-68FE-4D5F-8D6E-1AD8DE1E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7A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cp:revision>
  <dcterms:created xsi:type="dcterms:W3CDTF">2020-09-03T08:46:00Z</dcterms:created>
  <dcterms:modified xsi:type="dcterms:W3CDTF">2020-09-03T08:46:00Z</dcterms:modified>
</cp:coreProperties>
</file>