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BB3B" w14:textId="3E8F054C" w:rsidR="0031002A" w:rsidRPr="002836FA" w:rsidRDefault="002836FA" w:rsidP="002836FA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2836FA">
        <w:rPr>
          <w:rFonts w:ascii="Times New Roman" w:hAnsi="Times New Roman" w:cs="Times New Roman"/>
          <w:b/>
          <w:bCs/>
          <w:sz w:val="24"/>
        </w:rPr>
        <w:t>Supplementary Figure Legends</w:t>
      </w:r>
    </w:p>
    <w:p w14:paraId="10445B47" w14:textId="0A7DE615" w:rsidR="0031002A" w:rsidRPr="002836FA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 xml:space="preserve">Supplementary Figure S1: Dysregulated biological process distinguished through bioinformatic analysis. </w:t>
      </w:r>
      <w:r w:rsidRPr="002B7A44">
        <w:rPr>
          <w:rFonts w:ascii="Times New Roman" w:hAnsi="Times New Roman" w:cs="Times New Roman"/>
          <w:sz w:val="24"/>
        </w:rPr>
        <w:t>(</w:t>
      </w:r>
      <w:r w:rsidRPr="002B7A44">
        <w:rPr>
          <w:rFonts w:ascii="Times New Roman" w:hAnsi="Times New Roman" w:cs="Times New Roman"/>
          <w:b/>
          <w:sz w:val="24"/>
        </w:rPr>
        <w:t>A</w:t>
      </w:r>
      <w:r w:rsidRPr="002B7A44">
        <w:rPr>
          <w:rFonts w:ascii="Times New Roman" w:hAnsi="Times New Roman" w:cs="Times New Roman"/>
          <w:sz w:val="24"/>
        </w:rPr>
        <w:t xml:space="preserve">) </w:t>
      </w:r>
      <w:r w:rsidRPr="002B7A44">
        <w:rPr>
          <w:rFonts w:ascii="Times New Roman" w:hAnsi="Times New Roman" w:cs="Times New Roman"/>
          <w:color w:val="000000" w:themeColor="text1"/>
          <w:sz w:val="24"/>
        </w:rPr>
        <w:t>Total 14</w:t>
      </w:r>
      <w:r w:rsidRPr="002B7A44">
        <w:rPr>
          <w:rFonts w:ascii="Times New Roman" w:hAnsi="Times New Roman" w:cs="Times New Roman"/>
          <w:sz w:val="24"/>
        </w:rPr>
        <w:t xml:space="preserve"> enriched KEGG pathways that were significantly dysregulated were ranked according to the NES value. And cell cycle pathway was </w:t>
      </w:r>
      <w:r w:rsidRPr="002B7A44">
        <w:rPr>
          <w:rFonts w:ascii="Times New Roman" w:hAnsi="Times New Roman" w:cs="Times New Roman"/>
          <w:bCs/>
          <w:sz w:val="24"/>
        </w:rPr>
        <w:t>activated</w:t>
      </w:r>
      <w:r w:rsidRPr="002B7A44">
        <w:rPr>
          <w:rFonts w:ascii="Times New Roman" w:hAnsi="Times New Roman" w:cs="Times New Roman"/>
          <w:sz w:val="24"/>
        </w:rPr>
        <w:t xml:space="preserve"> in HCC. The dysregulated signaling pathways in HCC were illustrated by </w:t>
      </w:r>
      <w:proofErr w:type="spellStart"/>
      <w:r w:rsidRPr="002B7A44">
        <w:rPr>
          <w:rFonts w:ascii="Times New Roman" w:hAnsi="Times New Roman" w:cs="Times New Roman"/>
          <w:sz w:val="24"/>
        </w:rPr>
        <w:t>dotplot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 (</w:t>
      </w:r>
      <w:r w:rsidRPr="002B7A44">
        <w:rPr>
          <w:rFonts w:ascii="Times New Roman" w:hAnsi="Times New Roman" w:cs="Times New Roman"/>
          <w:b/>
          <w:sz w:val="24"/>
        </w:rPr>
        <w:t>B</w:t>
      </w:r>
      <w:r w:rsidRPr="002B7A44">
        <w:rPr>
          <w:rFonts w:ascii="Times New Roman" w:hAnsi="Times New Roman" w:cs="Times New Roman"/>
          <w:sz w:val="24"/>
        </w:rPr>
        <w:t xml:space="preserve">) and </w:t>
      </w:r>
      <w:proofErr w:type="spellStart"/>
      <w:r w:rsidRPr="002B7A44">
        <w:rPr>
          <w:rFonts w:ascii="Times New Roman" w:hAnsi="Times New Roman" w:cs="Times New Roman"/>
          <w:sz w:val="24"/>
        </w:rPr>
        <w:t>ridgeplot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 (</w:t>
      </w:r>
      <w:r w:rsidRPr="002B7A44">
        <w:rPr>
          <w:rFonts w:ascii="Times New Roman" w:hAnsi="Times New Roman" w:cs="Times New Roman"/>
          <w:b/>
          <w:sz w:val="24"/>
        </w:rPr>
        <w:t>C</w:t>
      </w:r>
      <w:r w:rsidRPr="002B7A44">
        <w:rPr>
          <w:rFonts w:ascii="Times New Roman" w:hAnsi="Times New Roman" w:cs="Times New Roman"/>
          <w:sz w:val="24"/>
        </w:rPr>
        <w:t>) based on the GSEA results. Of which, cell cycle pathway was activated in HCC.</w:t>
      </w:r>
    </w:p>
    <w:p w14:paraId="0793A91F" w14:textId="3C7513E7" w:rsidR="0031002A" w:rsidRPr="002836FA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 xml:space="preserve">Supplementary Figure S2: miR-140-5p was downregulated in HCC and CDK4 was upregulated in HCC. </w:t>
      </w:r>
      <w:r w:rsidRPr="002B7A44">
        <w:rPr>
          <w:rFonts w:ascii="Times New Roman" w:hAnsi="Times New Roman" w:cs="Times New Roman"/>
          <w:sz w:val="24"/>
        </w:rPr>
        <w:t>(</w:t>
      </w:r>
      <w:r w:rsidRPr="002B7A44">
        <w:rPr>
          <w:rFonts w:ascii="Times New Roman" w:hAnsi="Times New Roman" w:cs="Times New Roman"/>
          <w:b/>
          <w:sz w:val="24"/>
        </w:rPr>
        <w:t>A</w:t>
      </w:r>
      <w:r w:rsidRPr="002B7A44">
        <w:rPr>
          <w:rFonts w:ascii="Times New Roman" w:hAnsi="Times New Roman" w:cs="Times New Roman"/>
          <w:sz w:val="24"/>
        </w:rPr>
        <w:t>) Expression of miR-140-5p, miR-22-3p</w:t>
      </w:r>
      <w:r w:rsidR="005B649F">
        <w:rPr>
          <w:rFonts w:ascii="Times New Roman" w:hAnsi="Times New Roman" w:cs="Times New Roman"/>
          <w:sz w:val="24"/>
        </w:rPr>
        <w:t xml:space="preserve"> and </w:t>
      </w:r>
      <w:r w:rsidRPr="002B7A44">
        <w:rPr>
          <w:rFonts w:ascii="Times New Roman" w:hAnsi="Times New Roman" w:cs="Times New Roman"/>
          <w:sz w:val="24"/>
        </w:rPr>
        <w:t xml:space="preserve">miR-223-3p was detected in normal tissue and HCC tissues using </w:t>
      </w:r>
      <w:proofErr w:type="spellStart"/>
      <w:r w:rsidRPr="002B7A44">
        <w:rPr>
          <w:rFonts w:ascii="Times New Roman" w:hAnsi="Times New Roman" w:cs="Times New Roman"/>
          <w:sz w:val="24"/>
        </w:rPr>
        <w:t>qRT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-PCR. </w:t>
      </w:r>
      <w:r w:rsidR="005B649F" w:rsidRPr="005B649F">
        <w:rPr>
          <w:rFonts w:ascii="Times New Roman" w:hAnsi="Times New Roman" w:cs="Times New Roman"/>
          <w:b/>
          <w:bCs/>
          <w:sz w:val="24"/>
        </w:rPr>
        <w:t>(B)</w:t>
      </w:r>
      <w:r w:rsidR="005B649F">
        <w:rPr>
          <w:rFonts w:ascii="Times New Roman" w:hAnsi="Times New Roman" w:cs="Times New Roman"/>
          <w:b/>
          <w:bCs/>
          <w:sz w:val="24"/>
        </w:rPr>
        <w:t xml:space="preserve"> </w:t>
      </w:r>
      <w:r w:rsidR="005B649F" w:rsidRPr="00BE0299">
        <w:rPr>
          <w:rFonts w:ascii="Times New Roman" w:hAnsi="Times New Roman" w:cs="Times New Roman"/>
          <w:color w:val="31353B"/>
          <w:sz w:val="24"/>
          <w:shd w:val="clear" w:color="auto" w:fill="FFFFFF"/>
        </w:rPr>
        <w:t xml:space="preserve">6 </w:t>
      </w:r>
      <w:r w:rsidR="005B649F" w:rsidRPr="005B649F">
        <w:rPr>
          <w:rFonts w:ascii="Times New Roman" w:hAnsi="Times New Roman" w:cs="Times New Roman"/>
          <w:color w:val="31353B"/>
          <w:sz w:val="24"/>
          <w:shd w:val="clear" w:color="auto" w:fill="FFFFFF"/>
        </w:rPr>
        <w:t>filtered</w:t>
      </w:r>
      <w:r w:rsidR="005B649F">
        <w:rPr>
          <w:rFonts w:ascii="Times New Roman" w:hAnsi="Times New Roman" w:cs="Times New Roman"/>
          <w:color w:val="31353B"/>
          <w:sz w:val="24"/>
          <w:shd w:val="clear" w:color="auto" w:fill="FFFFFF"/>
        </w:rPr>
        <w:t xml:space="preserve"> </w:t>
      </w:r>
      <w:r w:rsidR="005B649F" w:rsidRPr="00BE0299">
        <w:rPr>
          <w:rFonts w:ascii="Times New Roman" w:hAnsi="Times New Roman" w:cs="Times New Roman"/>
          <w:color w:val="31353B"/>
          <w:sz w:val="24"/>
        </w:rPr>
        <w:t>miRNAs</w:t>
      </w:r>
      <w:r w:rsidR="005B649F">
        <w:rPr>
          <w:rFonts w:ascii="Times New Roman" w:hAnsi="Times New Roman" w:cs="Times New Roman"/>
          <w:color w:val="31353B"/>
          <w:sz w:val="24"/>
        </w:rPr>
        <w:t xml:space="preserve"> levels were </w:t>
      </w:r>
      <w:r w:rsidR="005B649F" w:rsidRPr="005B649F">
        <w:rPr>
          <w:rFonts w:ascii="Times New Roman" w:hAnsi="Times New Roman" w:cs="Times New Roman"/>
          <w:color w:val="31353B"/>
          <w:sz w:val="24"/>
        </w:rPr>
        <w:t>verified</w:t>
      </w:r>
      <w:r w:rsidR="005B649F">
        <w:rPr>
          <w:rFonts w:ascii="Times New Roman" w:hAnsi="Times New Roman" w:cs="Times New Roman"/>
          <w:color w:val="31353B"/>
          <w:sz w:val="24"/>
        </w:rPr>
        <w:t xml:space="preserve">. </w:t>
      </w:r>
      <w:r w:rsidR="005B649F" w:rsidRPr="002B7A44">
        <w:rPr>
          <w:rFonts w:ascii="Times New Roman" w:hAnsi="Times New Roman" w:cs="Times New Roman"/>
          <w:sz w:val="24"/>
          <w:vertAlign w:val="superscript"/>
        </w:rPr>
        <w:t>*</w:t>
      </w:r>
      <w:r w:rsidR="005B649F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5B649F" w:rsidRPr="002B7A44">
        <w:rPr>
          <w:rFonts w:ascii="Times New Roman" w:hAnsi="Times New Roman" w:cs="Times New Roman"/>
          <w:sz w:val="24"/>
        </w:rPr>
        <w:t>&lt; 0.05</w:t>
      </w:r>
      <w:r w:rsidR="005B649F">
        <w:rPr>
          <w:rFonts w:ascii="Times New Roman" w:hAnsi="Times New Roman" w:cs="Times New Roman"/>
          <w:sz w:val="24"/>
        </w:rPr>
        <w:t xml:space="preserve">, </w:t>
      </w:r>
      <w:r w:rsidR="005B649F" w:rsidRPr="002B7A44">
        <w:rPr>
          <w:rFonts w:ascii="Times New Roman" w:hAnsi="Times New Roman" w:cs="Times New Roman"/>
          <w:sz w:val="24"/>
          <w:vertAlign w:val="superscript"/>
        </w:rPr>
        <w:t>*</w:t>
      </w:r>
      <w:r w:rsidR="005B649F">
        <w:rPr>
          <w:rFonts w:ascii="Times New Roman" w:hAnsi="Times New Roman" w:cs="Times New Roman"/>
          <w:sz w:val="24"/>
          <w:vertAlign w:val="superscript"/>
        </w:rPr>
        <w:t>*</w:t>
      </w:r>
      <w:r w:rsidR="005B649F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5B649F" w:rsidRPr="002B7A44">
        <w:rPr>
          <w:rFonts w:ascii="Times New Roman" w:hAnsi="Times New Roman" w:cs="Times New Roman"/>
          <w:sz w:val="24"/>
        </w:rPr>
        <w:t>&lt; 0.0</w:t>
      </w:r>
      <w:r w:rsidR="005B649F">
        <w:rPr>
          <w:rFonts w:ascii="Times New Roman" w:hAnsi="Times New Roman" w:cs="Times New Roman"/>
          <w:sz w:val="24"/>
        </w:rPr>
        <w:t>1</w:t>
      </w:r>
      <w:r w:rsidR="005B649F" w:rsidRPr="002B7A44">
        <w:rPr>
          <w:rFonts w:ascii="Times New Roman" w:hAnsi="Times New Roman" w:cs="Times New Roman"/>
          <w:sz w:val="24"/>
        </w:rPr>
        <w:t xml:space="preserve"> compared with the normal tissues.</w:t>
      </w:r>
      <w:r w:rsidR="005B649F">
        <w:rPr>
          <w:rFonts w:ascii="Times New Roman" w:hAnsi="Times New Roman" w:cs="Times New Roman"/>
          <w:sz w:val="24"/>
        </w:rPr>
        <w:t xml:space="preserve"> </w:t>
      </w:r>
      <w:r w:rsidR="005B649F" w:rsidRPr="005B649F">
        <w:rPr>
          <w:rFonts w:ascii="Times New Roman" w:hAnsi="Times New Roman" w:cs="Times New Roman"/>
          <w:b/>
          <w:bCs/>
          <w:sz w:val="24"/>
        </w:rPr>
        <w:t>(C)</w:t>
      </w:r>
      <w:r w:rsidR="005B649F">
        <w:rPr>
          <w:rFonts w:ascii="Times New Roman" w:hAnsi="Times New Roman" w:cs="Times New Roman"/>
          <w:b/>
          <w:bCs/>
          <w:sz w:val="24"/>
        </w:rPr>
        <w:t xml:space="preserve"> </w:t>
      </w:r>
      <w:r w:rsidR="005B649F" w:rsidRPr="005B649F">
        <w:rPr>
          <w:rFonts w:ascii="Times New Roman" w:hAnsi="Times New Roman" w:cs="Times New Roman"/>
          <w:sz w:val="24"/>
        </w:rPr>
        <w:t>CDK4</w:t>
      </w:r>
      <w:r w:rsidR="005B649F">
        <w:rPr>
          <w:rFonts w:ascii="Times New Roman" w:hAnsi="Times New Roman" w:cs="Times New Roman"/>
          <w:sz w:val="24"/>
        </w:rPr>
        <w:t xml:space="preserve"> expression </w:t>
      </w:r>
      <w:r w:rsidR="005B649F" w:rsidRPr="002B7A44">
        <w:rPr>
          <w:rFonts w:ascii="Times New Roman" w:hAnsi="Times New Roman" w:cs="Times New Roman"/>
          <w:sz w:val="24"/>
        </w:rPr>
        <w:t>was detected in normal tissue and HCC tissues</w:t>
      </w:r>
      <w:r w:rsidR="005B649F">
        <w:rPr>
          <w:rFonts w:ascii="Times New Roman" w:hAnsi="Times New Roman" w:cs="Times New Roman"/>
          <w:sz w:val="24"/>
        </w:rPr>
        <w:t xml:space="preserve">. </w:t>
      </w:r>
      <w:r w:rsidR="005B649F" w:rsidRPr="002B7A44">
        <w:rPr>
          <w:rFonts w:ascii="Times New Roman" w:hAnsi="Times New Roman" w:cs="Times New Roman"/>
          <w:sz w:val="24"/>
          <w:vertAlign w:val="superscript"/>
        </w:rPr>
        <w:t>*</w:t>
      </w:r>
      <w:r w:rsidR="005B649F">
        <w:rPr>
          <w:rFonts w:ascii="Times New Roman" w:hAnsi="Times New Roman" w:cs="Times New Roman"/>
          <w:sz w:val="24"/>
          <w:vertAlign w:val="superscript"/>
        </w:rPr>
        <w:t>*</w:t>
      </w:r>
      <w:r w:rsidR="005B649F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5B649F" w:rsidRPr="002B7A44">
        <w:rPr>
          <w:rFonts w:ascii="Times New Roman" w:hAnsi="Times New Roman" w:cs="Times New Roman"/>
          <w:sz w:val="24"/>
        </w:rPr>
        <w:t>&lt; 0.0</w:t>
      </w:r>
      <w:r w:rsidR="005B649F">
        <w:rPr>
          <w:rFonts w:ascii="Times New Roman" w:hAnsi="Times New Roman" w:cs="Times New Roman"/>
          <w:sz w:val="24"/>
        </w:rPr>
        <w:t>1</w:t>
      </w:r>
      <w:r w:rsidR="005B649F" w:rsidRPr="002B7A44">
        <w:rPr>
          <w:rFonts w:ascii="Times New Roman" w:hAnsi="Times New Roman" w:cs="Times New Roman"/>
          <w:sz w:val="24"/>
        </w:rPr>
        <w:t xml:space="preserve"> compared with the normal tissues.</w:t>
      </w:r>
      <w:r w:rsidR="005B649F">
        <w:rPr>
          <w:rFonts w:ascii="Times New Roman" w:hAnsi="Times New Roman" w:cs="Times New Roman" w:hint="eastAsia"/>
          <w:sz w:val="24"/>
        </w:rPr>
        <w:t xml:space="preserve"> </w:t>
      </w:r>
      <w:r w:rsidRPr="002B7A44">
        <w:rPr>
          <w:rFonts w:ascii="Times New Roman" w:hAnsi="Times New Roman" w:cs="Times New Roman"/>
          <w:b/>
          <w:bCs/>
          <w:sz w:val="24"/>
        </w:rPr>
        <w:t>(</w:t>
      </w:r>
      <w:r w:rsidR="005B649F">
        <w:rPr>
          <w:rFonts w:ascii="Times New Roman" w:hAnsi="Times New Roman" w:cs="Times New Roman"/>
          <w:b/>
          <w:bCs/>
          <w:sz w:val="24"/>
        </w:rPr>
        <w:t>D</w:t>
      </w:r>
      <w:r w:rsidRPr="002B7A44">
        <w:rPr>
          <w:rFonts w:ascii="Times New Roman" w:hAnsi="Times New Roman" w:cs="Times New Roman"/>
          <w:b/>
          <w:bCs/>
          <w:sz w:val="24"/>
        </w:rPr>
        <w:t>)</w:t>
      </w:r>
      <w:r w:rsidRPr="002B7A44">
        <w:rPr>
          <w:rFonts w:ascii="Times New Roman" w:hAnsi="Times New Roman" w:cs="Times New Roman"/>
          <w:sz w:val="24"/>
        </w:rPr>
        <w:t xml:space="preserve"> The correlation between SNHG1 and miR-140-5p expression analyzed in HCC samples (n = 24, R</w:t>
      </w:r>
      <w:r w:rsidRPr="002B7A44">
        <w:rPr>
          <w:rFonts w:ascii="Times New Roman" w:hAnsi="Times New Roman" w:cs="Times New Roman"/>
          <w:sz w:val="24"/>
          <w:vertAlign w:val="superscript"/>
        </w:rPr>
        <w:t>2</w:t>
      </w:r>
      <w:r w:rsidRPr="002B7A44">
        <w:rPr>
          <w:rFonts w:ascii="Times New Roman" w:hAnsi="Times New Roman" w:cs="Times New Roman"/>
          <w:sz w:val="24"/>
        </w:rPr>
        <w:t xml:space="preserve"> = 0.3096, P = 0.005). </w:t>
      </w:r>
      <w:r w:rsidRPr="002B7A44">
        <w:rPr>
          <w:rFonts w:ascii="Times New Roman" w:hAnsi="Times New Roman" w:cs="Times New Roman"/>
          <w:b/>
          <w:bCs/>
          <w:sz w:val="24"/>
        </w:rPr>
        <w:t>(</w:t>
      </w:r>
      <w:r w:rsidR="005B649F">
        <w:rPr>
          <w:rFonts w:ascii="Times New Roman" w:hAnsi="Times New Roman" w:cs="Times New Roman"/>
          <w:b/>
          <w:bCs/>
          <w:sz w:val="24"/>
        </w:rPr>
        <w:t>E</w:t>
      </w:r>
      <w:r w:rsidRPr="002B7A44">
        <w:rPr>
          <w:rFonts w:ascii="Times New Roman" w:hAnsi="Times New Roman" w:cs="Times New Roman"/>
          <w:b/>
          <w:bCs/>
          <w:sz w:val="24"/>
        </w:rPr>
        <w:t>)</w:t>
      </w:r>
      <w:r w:rsidRPr="002B7A44">
        <w:rPr>
          <w:rFonts w:ascii="Times New Roman" w:hAnsi="Times New Roman" w:cs="Times New Roman"/>
          <w:sz w:val="24"/>
        </w:rPr>
        <w:t xml:space="preserve"> The correlation between CDK4 and miR-140-5p expression analyzed in HCC samples (n = 24, R</w:t>
      </w:r>
      <w:r w:rsidRPr="002B7A44">
        <w:rPr>
          <w:rFonts w:ascii="Times New Roman" w:hAnsi="Times New Roman" w:cs="Times New Roman"/>
          <w:sz w:val="24"/>
          <w:vertAlign w:val="superscript"/>
        </w:rPr>
        <w:t>2</w:t>
      </w:r>
      <w:r w:rsidRPr="002B7A44">
        <w:rPr>
          <w:rFonts w:ascii="Times New Roman" w:hAnsi="Times New Roman" w:cs="Times New Roman"/>
          <w:sz w:val="24"/>
        </w:rPr>
        <w:t xml:space="preserve"> = 0.4039, P &lt; 0.001). </w:t>
      </w:r>
      <w:r w:rsidRPr="002B7A44">
        <w:rPr>
          <w:rFonts w:ascii="Times New Roman" w:hAnsi="Times New Roman" w:cs="Times New Roman"/>
          <w:b/>
          <w:bCs/>
          <w:sz w:val="24"/>
        </w:rPr>
        <w:t>(</w:t>
      </w:r>
      <w:r w:rsidR="005B649F">
        <w:rPr>
          <w:rFonts w:ascii="Times New Roman" w:hAnsi="Times New Roman" w:cs="Times New Roman"/>
          <w:b/>
          <w:bCs/>
          <w:sz w:val="24"/>
        </w:rPr>
        <w:t>F</w:t>
      </w:r>
      <w:r w:rsidRPr="002B7A44">
        <w:rPr>
          <w:rFonts w:ascii="Times New Roman" w:hAnsi="Times New Roman" w:cs="Times New Roman"/>
          <w:b/>
          <w:bCs/>
          <w:sz w:val="24"/>
        </w:rPr>
        <w:t>)</w:t>
      </w:r>
      <w:r w:rsidRPr="002B7A44">
        <w:rPr>
          <w:rFonts w:ascii="Times New Roman" w:hAnsi="Times New Roman" w:cs="Times New Roman"/>
          <w:sz w:val="24"/>
        </w:rPr>
        <w:t xml:space="preserve"> The correlation between SNHG1 and CDK4 expression analyzed in HCC samples (n = 24, R</w:t>
      </w:r>
      <w:r w:rsidRPr="002B7A44">
        <w:rPr>
          <w:rFonts w:ascii="Times New Roman" w:hAnsi="Times New Roman" w:cs="Times New Roman"/>
          <w:sz w:val="24"/>
          <w:vertAlign w:val="superscript"/>
        </w:rPr>
        <w:t>2</w:t>
      </w:r>
      <w:r w:rsidRPr="002B7A44">
        <w:rPr>
          <w:rFonts w:ascii="Times New Roman" w:hAnsi="Times New Roman" w:cs="Times New Roman"/>
          <w:sz w:val="24"/>
        </w:rPr>
        <w:t xml:space="preserve"> = 0.2279, P = 0.018). </w:t>
      </w:r>
      <w:r w:rsidRPr="002B7A44">
        <w:rPr>
          <w:rFonts w:ascii="Times New Roman" w:hAnsi="Times New Roman" w:cs="Times New Roman"/>
          <w:b/>
          <w:bCs/>
          <w:sz w:val="24"/>
        </w:rPr>
        <w:t>(</w:t>
      </w:r>
      <w:r w:rsidR="005B649F">
        <w:rPr>
          <w:rFonts w:ascii="Times New Roman" w:hAnsi="Times New Roman" w:cs="Times New Roman"/>
          <w:b/>
          <w:bCs/>
          <w:sz w:val="24"/>
        </w:rPr>
        <w:t>G</w:t>
      </w:r>
      <w:r w:rsidRPr="002B7A44">
        <w:rPr>
          <w:rFonts w:ascii="Times New Roman" w:hAnsi="Times New Roman" w:cs="Times New Roman"/>
          <w:b/>
          <w:bCs/>
          <w:sz w:val="24"/>
        </w:rPr>
        <w:t>)</w:t>
      </w:r>
      <w:r w:rsidRPr="002B7A44">
        <w:rPr>
          <w:rFonts w:ascii="Times New Roman" w:hAnsi="Times New Roman" w:cs="Times New Roman"/>
          <w:sz w:val="24"/>
        </w:rPr>
        <w:t xml:space="preserve"> Expression of miR-140-5p in HL-7702[L-02] (normal cells), HepG2 and SMMC-7721 (HCC cells) were measured by </w:t>
      </w:r>
      <w:proofErr w:type="spellStart"/>
      <w:r w:rsidRPr="002B7A44">
        <w:rPr>
          <w:rFonts w:ascii="Times New Roman" w:hAnsi="Times New Roman" w:cs="Times New Roman"/>
          <w:sz w:val="24"/>
        </w:rPr>
        <w:t>qRT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-PCR. </w:t>
      </w:r>
      <w:r w:rsidRPr="002B7A44">
        <w:rPr>
          <w:rFonts w:ascii="Times New Roman" w:hAnsi="Times New Roman" w:cs="Times New Roman"/>
          <w:b/>
          <w:bCs/>
          <w:sz w:val="24"/>
        </w:rPr>
        <w:t>(</w:t>
      </w:r>
      <w:r w:rsidR="005B649F">
        <w:rPr>
          <w:rFonts w:ascii="Times New Roman" w:hAnsi="Times New Roman" w:cs="Times New Roman"/>
          <w:b/>
          <w:bCs/>
          <w:sz w:val="24"/>
        </w:rPr>
        <w:t>H</w:t>
      </w:r>
      <w:r w:rsidRPr="002B7A44">
        <w:rPr>
          <w:rFonts w:ascii="Times New Roman" w:hAnsi="Times New Roman" w:cs="Times New Roman"/>
          <w:b/>
          <w:bCs/>
          <w:sz w:val="24"/>
        </w:rPr>
        <w:t>)</w:t>
      </w:r>
      <w:r w:rsidRPr="002B7A44">
        <w:rPr>
          <w:rFonts w:ascii="Times New Roman" w:hAnsi="Times New Roman" w:cs="Times New Roman"/>
          <w:sz w:val="24"/>
        </w:rPr>
        <w:t xml:space="preserve"> Expression of CDK4 in HL-7702[L-02] (normal cells), HepG2 and SMMC-7721 (HCC cells) were measured. </w:t>
      </w:r>
      <w:r w:rsidRPr="002B7A44">
        <w:rPr>
          <w:rFonts w:ascii="Times New Roman" w:hAnsi="Times New Roman" w:cs="Times New Roman"/>
          <w:sz w:val="24"/>
          <w:vertAlign w:val="superscript"/>
        </w:rPr>
        <w:t>*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 xml:space="preserve">&lt; 0.05, </w:t>
      </w:r>
      <w:r w:rsidRPr="002B7A44">
        <w:rPr>
          <w:rFonts w:ascii="Times New Roman" w:hAnsi="Times New Roman" w:cs="Times New Roman"/>
          <w:sz w:val="24"/>
          <w:vertAlign w:val="superscript"/>
        </w:rPr>
        <w:t>**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>&lt; 0.01 compared with the L-O2.</w:t>
      </w:r>
      <w:r w:rsidR="00BA00C4">
        <w:rPr>
          <w:rFonts w:ascii="Times New Roman" w:hAnsi="Times New Roman" w:cs="Times New Roman"/>
          <w:sz w:val="24"/>
        </w:rPr>
        <w:t xml:space="preserve"> </w:t>
      </w:r>
    </w:p>
    <w:p w14:paraId="318FA0A1" w14:textId="18D865A6" w:rsidR="0031002A" w:rsidRPr="002836FA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 xml:space="preserve">Supplementary Figure S3: SNHG1 promoted HCC cell growth, migration and invasion. (A-B) </w:t>
      </w:r>
      <w:r w:rsidRPr="002B7A44">
        <w:rPr>
          <w:rFonts w:ascii="Times New Roman" w:hAnsi="Times New Roman" w:cs="Times New Roman"/>
          <w:sz w:val="24"/>
        </w:rPr>
        <w:t>MTT assays demonstrated that SNHG1 knockdown inhibited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(A)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(B)</w:t>
      </w:r>
      <w:r w:rsidRPr="002B7A44">
        <w:rPr>
          <w:rFonts w:ascii="Times New Roman" w:hAnsi="Times New Roman" w:cs="Times New Roman"/>
          <w:sz w:val="24"/>
        </w:rPr>
        <w:t xml:space="preserve"> growth.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(C-D) </w:t>
      </w:r>
      <w:r w:rsidRPr="002B7A44">
        <w:rPr>
          <w:rFonts w:ascii="Times New Roman" w:hAnsi="Times New Roman" w:cs="Times New Roman"/>
          <w:sz w:val="24"/>
        </w:rPr>
        <w:t>Wound healing assay represented that cell migratory ability of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(C)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(D)</w:t>
      </w:r>
      <w:r w:rsidRPr="002B7A44">
        <w:rPr>
          <w:rFonts w:ascii="Times New Roman" w:hAnsi="Times New Roman" w:cs="Times New Roman"/>
          <w:sz w:val="24"/>
        </w:rPr>
        <w:t xml:space="preserve"> was enhanced by the overexpression of SNHG1 while impaired by down-regulation of SNHG1. (</w:t>
      </w:r>
      <w:r w:rsidRPr="002B7A44">
        <w:rPr>
          <w:rFonts w:ascii="Times New Roman" w:hAnsi="Times New Roman" w:cs="Times New Roman"/>
          <w:b/>
          <w:sz w:val="24"/>
        </w:rPr>
        <w:t>E-F</w:t>
      </w:r>
      <w:r w:rsidRPr="002B7A44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2B7A44">
        <w:rPr>
          <w:rFonts w:ascii="Times New Roman" w:hAnsi="Times New Roman" w:cs="Times New Roman"/>
          <w:sz w:val="24"/>
        </w:rPr>
        <w:t>Transwell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 invasion assay showed that cell invasive ability of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(E)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(F)</w:t>
      </w:r>
      <w:r w:rsidRPr="002B7A44">
        <w:rPr>
          <w:rFonts w:ascii="Times New Roman" w:hAnsi="Times New Roman" w:cs="Times New Roman"/>
          <w:sz w:val="24"/>
        </w:rPr>
        <w:t xml:space="preserve"> was enhanced by the overexpression of SNHG1 while impaired by down-regulation of SNHG1.</w:t>
      </w:r>
      <w:r w:rsidR="00C94E87" w:rsidRPr="00C94E87">
        <w:rPr>
          <w:rFonts w:ascii="Times New Roman" w:hAnsi="Times New Roman" w:cs="Times New Roman"/>
          <w:b/>
          <w:bCs/>
          <w:sz w:val="24"/>
        </w:rPr>
        <w:t xml:space="preserve"> </w:t>
      </w:r>
      <w:r w:rsidR="00C94E87" w:rsidRPr="00C94E87">
        <w:rPr>
          <w:rFonts w:ascii="Times New Roman" w:hAnsi="Times New Roman" w:cs="Times New Roman" w:hint="eastAsia"/>
          <w:b/>
          <w:bCs/>
          <w:sz w:val="24"/>
        </w:rPr>
        <w:t>(</w:t>
      </w:r>
      <w:r w:rsidR="00C94E87" w:rsidRPr="00C94E87">
        <w:rPr>
          <w:rFonts w:ascii="Times New Roman" w:hAnsi="Times New Roman" w:cs="Times New Roman"/>
          <w:b/>
          <w:bCs/>
          <w:sz w:val="24"/>
        </w:rPr>
        <w:t>G-H)</w:t>
      </w:r>
      <w:r w:rsidRPr="002B7A44">
        <w:rPr>
          <w:rFonts w:ascii="Times New Roman" w:hAnsi="Times New Roman" w:cs="Times New Roman"/>
          <w:sz w:val="24"/>
        </w:rPr>
        <w:t xml:space="preserve"> </w:t>
      </w:r>
      <w:r w:rsidR="00C94E87">
        <w:rPr>
          <w:rFonts w:ascii="Times New Roman" w:hAnsi="Times New Roman" w:cs="Times New Roman"/>
          <w:sz w:val="24"/>
        </w:rPr>
        <w:t>The levels of EMT relative protein E-c</w:t>
      </w:r>
      <w:r w:rsidR="00C94E87" w:rsidRPr="00C94E87">
        <w:rPr>
          <w:rFonts w:ascii="Times New Roman" w:hAnsi="Times New Roman" w:cs="Times New Roman"/>
          <w:sz w:val="24"/>
        </w:rPr>
        <w:t>adherin</w:t>
      </w:r>
      <w:r w:rsidR="00C94E87">
        <w:rPr>
          <w:rFonts w:ascii="Times New Roman" w:hAnsi="Times New Roman" w:cs="Times New Roman"/>
          <w:sz w:val="24"/>
        </w:rPr>
        <w:t>, N-C</w:t>
      </w:r>
      <w:r w:rsidR="00C94E87" w:rsidRPr="00C94E87">
        <w:rPr>
          <w:rFonts w:ascii="Times New Roman" w:hAnsi="Times New Roman" w:cs="Times New Roman"/>
          <w:sz w:val="24"/>
        </w:rPr>
        <w:t>adherin</w:t>
      </w:r>
      <w:r w:rsidR="00C94E87">
        <w:rPr>
          <w:rFonts w:ascii="Times New Roman" w:hAnsi="Times New Roman" w:cs="Times New Roman"/>
          <w:sz w:val="24"/>
        </w:rPr>
        <w:t xml:space="preserve"> and </w:t>
      </w:r>
      <w:r w:rsidR="00C94E87" w:rsidRPr="00C94E87">
        <w:rPr>
          <w:rFonts w:ascii="Times New Roman" w:hAnsi="Times New Roman" w:cs="Times New Roman"/>
          <w:sz w:val="24"/>
        </w:rPr>
        <w:t>Vimentin</w:t>
      </w:r>
      <w:r w:rsidR="00C94E87">
        <w:rPr>
          <w:rFonts w:ascii="Times New Roman" w:hAnsi="Times New Roman" w:cs="Times New Roman"/>
          <w:sz w:val="24"/>
        </w:rPr>
        <w:t xml:space="preserve"> in </w:t>
      </w:r>
      <w:r w:rsidR="00C94E87" w:rsidRPr="002B7A44">
        <w:rPr>
          <w:rFonts w:ascii="Times New Roman" w:hAnsi="Times New Roman" w:cs="Times New Roman"/>
          <w:sz w:val="24"/>
        </w:rPr>
        <w:t>HepG2</w:t>
      </w:r>
      <w:r w:rsidR="00C94E87" w:rsidRPr="002B7A44">
        <w:rPr>
          <w:rFonts w:ascii="Times New Roman" w:hAnsi="Times New Roman" w:cs="Times New Roman"/>
          <w:b/>
          <w:bCs/>
          <w:sz w:val="24"/>
        </w:rPr>
        <w:t xml:space="preserve"> (</w:t>
      </w:r>
      <w:r w:rsidR="00C94E87">
        <w:rPr>
          <w:rFonts w:ascii="Times New Roman" w:hAnsi="Times New Roman" w:cs="Times New Roman"/>
          <w:b/>
          <w:bCs/>
          <w:sz w:val="24"/>
        </w:rPr>
        <w:t>G</w:t>
      </w:r>
      <w:r w:rsidR="00C94E87" w:rsidRPr="002B7A44">
        <w:rPr>
          <w:rFonts w:ascii="Times New Roman" w:hAnsi="Times New Roman" w:cs="Times New Roman"/>
          <w:b/>
          <w:bCs/>
          <w:sz w:val="24"/>
        </w:rPr>
        <w:t>)</w:t>
      </w:r>
      <w:r w:rsidR="00C94E87" w:rsidRPr="002B7A44">
        <w:rPr>
          <w:rFonts w:ascii="Times New Roman" w:hAnsi="Times New Roman" w:cs="Times New Roman"/>
          <w:sz w:val="24"/>
        </w:rPr>
        <w:t xml:space="preserve"> and SMMC-7721 </w:t>
      </w:r>
      <w:r w:rsidR="00C94E87" w:rsidRPr="002B7A44">
        <w:rPr>
          <w:rFonts w:ascii="Times New Roman" w:hAnsi="Times New Roman" w:cs="Times New Roman"/>
          <w:b/>
          <w:bCs/>
          <w:sz w:val="24"/>
        </w:rPr>
        <w:t>(</w:t>
      </w:r>
      <w:r w:rsidR="00C94E87">
        <w:rPr>
          <w:rFonts w:ascii="Times New Roman" w:hAnsi="Times New Roman" w:cs="Times New Roman"/>
          <w:b/>
          <w:bCs/>
          <w:sz w:val="24"/>
        </w:rPr>
        <w:t>H</w:t>
      </w:r>
      <w:r w:rsidR="00C94E87" w:rsidRPr="002B7A44">
        <w:rPr>
          <w:rFonts w:ascii="Times New Roman" w:hAnsi="Times New Roman" w:cs="Times New Roman"/>
          <w:b/>
          <w:bCs/>
          <w:sz w:val="24"/>
        </w:rPr>
        <w:t>)</w:t>
      </w:r>
      <w:r w:rsidR="00C94E87" w:rsidRPr="00C94E87">
        <w:rPr>
          <w:rFonts w:ascii="Times New Roman" w:hAnsi="Times New Roman" w:cs="Times New Roman"/>
          <w:sz w:val="24"/>
        </w:rPr>
        <w:t xml:space="preserve"> with the indicated treatment.</w:t>
      </w:r>
      <w:r w:rsidR="00C94E87">
        <w:rPr>
          <w:rFonts w:ascii="Times New Roman" w:hAnsi="Times New Roman" w:cs="Times New Roman"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  <w:vertAlign w:val="superscript"/>
        </w:rPr>
        <w:t>*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>&lt; 0.05 compared with vehicle.</w:t>
      </w:r>
    </w:p>
    <w:p w14:paraId="3E50B3A6" w14:textId="646099A6" w:rsidR="004234EF" w:rsidRPr="002836FA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lastRenderedPageBreak/>
        <w:t xml:space="preserve">Supplementary Figure S4: SNHG1 knockdown inhibited HCC cell growth, migration and invasion through miR-140-5p and CDK4. (A-B) </w:t>
      </w:r>
      <w:r w:rsidRPr="002B7A44">
        <w:rPr>
          <w:rFonts w:ascii="Times New Roman" w:hAnsi="Times New Roman" w:cs="Times New Roman"/>
          <w:sz w:val="24"/>
        </w:rPr>
        <w:t>MTT assays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>CDK4 overexpression or miR-140-5p inhibitor could reverse growth inhibition caused by SNHG1 knockdown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(A)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(B)</w:t>
      </w:r>
      <w:r w:rsidRPr="002B7A44">
        <w:rPr>
          <w:rFonts w:ascii="Times New Roman" w:hAnsi="Times New Roman" w:cs="Times New Roman"/>
          <w:sz w:val="24"/>
        </w:rPr>
        <w:t xml:space="preserve">.  </w:t>
      </w:r>
      <w:r w:rsidRPr="002B7A44">
        <w:rPr>
          <w:rFonts w:ascii="Times New Roman" w:hAnsi="Times New Roman" w:cs="Times New Roman"/>
          <w:b/>
          <w:bCs/>
          <w:sz w:val="24"/>
        </w:rPr>
        <w:t>(C-D)</w:t>
      </w:r>
      <w:r w:rsidRPr="002B7A44">
        <w:rPr>
          <w:rFonts w:ascii="Times New Roman" w:hAnsi="Times New Roman" w:cs="Times New Roman"/>
          <w:sz w:val="24"/>
        </w:rPr>
        <w:t xml:space="preserve"> Flow cytometric cell cycle distribution assays demonstrated that CDK4 overexpression or miR-140-5p inhibitor could reverse G0/G1 arrest caused by SNHG1 knockdown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(B)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(D). (E) </w:t>
      </w:r>
      <w:r w:rsidRPr="002B7A44">
        <w:rPr>
          <w:rFonts w:ascii="Times New Roman" w:hAnsi="Times New Roman" w:cs="Times New Roman"/>
          <w:sz w:val="24"/>
        </w:rPr>
        <w:t>Wound healing assay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 xml:space="preserve">CDK4 overexpression or miR-140-5p inhibitor could reverse migration inhibition caused by SNHG1 knockdown in HepG2 and SMMC-7721. 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(F) </w:t>
      </w:r>
      <w:proofErr w:type="spellStart"/>
      <w:r w:rsidRPr="002B7A44">
        <w:rPr>
          <w:rFonts w:ascii="Times New Roman" w:hAnsi="Times New Roman" w:cs="Times New Roman"/>
          <w:sz w:val="24"/>
        </w:rPr>
        <w:t>Transwell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 invasion assay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 xml:space="preserve">CDK4 overexpression or miR-140-5p inhibitor could reverse invasion inhibition caused by SNHG1 </w:t>
      </w:r>
      <w:bookmarkStart w:id="0" w:name="_Hlk41916174"/>
      <w:r w:rsidRPr="002B7A44">
        <w:rPr>
          <w:rFonts w:ascii="Times New Roman" w:hAnsi="Times New Roman" w:cs="Times New Roman"/>
          <w:sz w:val="24"/>
        </w:rPr>
        <w:t>knockdown</w:t>
      </w:r>
      <w:bookmarkEnd w:id="0"/>
      <w:r w:rsidRPr="002B7A44">
        <w:rPr>
          <w:rFonts w:ascii="Times New Roman" w:hAnsi="Times New Roman" w:cs="Times New Roman"/>
          <w:sz w:val="24"/>
        </w:rPr>
        <w:t xml:space="preserve"> in HepG2 and SMMC-7721. </w:t>
      </w:r>
      <w:r w:rsidRPr="002B7A44">
        <w:rPr>
          <w:rFonts w:ascii="Times New Roman" w:hAnsi="Times New Roman" w:cs="Times New Roman"/>
          <w:sz w:val="24"/>
          <w:vertAlign w:val="superscript"/>
        </w:rPr>
        <w:t>*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 xml:space="preserve">&lt; 0.05 compared with vehicle, </w:t>
      </w:r>
      <w:r w:rsidRPr="002B7A44">
        <w:rPr>
          <w:rFonts w:ascii="Times New Roman" w:hAnsi="Times New Roman" w:cs="Times New Roman"/>
          <w:sz w:val="24"/>
          <w:vertAlign w:val="superscript"/>
        </w:rPr>
        <w:t>#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>&lt; 0.05 compared with Lenti-sh-SNHG1.</w:t>
      </w:r>
    </w:p>
    <w:p w14:paraId="5AD38D9A" w14:textId="107160C8" w:rsidR="00134AD2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>Supplementary Figure S5: SNHG1 bind to EZH2</w:t>
      </w:r>
      <w:r w:rsidR="00134AD2">
        <w:rPr>
          <w:rFonts w:ascii="Times New Roman" w:hAnsi="Times New Roman" w:cs="Times New Roman"/>
          <w:b/>
          <w:bCs/>
          <w:sz w:val="24"/>
        </w:rPr>
        <w:t xml:space="preserve"> </w:t>
      </w:r>
      <w:r w:rsidR="00134AD2">
        <w:rPr>
          <w:rFonts w:ascii="Times New Roman" w:hAnsi="Times New Roman" w:cs="Times New Roman" w:hint="eastAsia"/>
          <w:b/>
          <w:bCs/>
          <w:sz w:val="24"/>
        </w:rPr>
        <w:t>in</w:t>
      </w:r>
      <w:r w:rsidR="00134AD2">
        <w:rPr>
          <w:rFonts w:ascii="Times New Roman" w:hAnsi="Times New Roman" w:cs="Times New Roman"/>
          <w:b/>
          <w:bCs/>
          <w:sz w:val="24"/>
        </w:rPr>
        <w:t xml:space="preserve"> </w:t>
      </w:r>
      <w:r w:rsidR="00134AD2">
        <w:rPr>
          <w:rFonts w:ascii="Times New Roman" w:hAnsi="Times New Roman" w:cs="Times New Roman" w:hint="eastAsia"/>
          <w:b/>
          <w:bCs/>
          <w:sz w:val="24"/>
        </w:rPr>
        <w:t>nucleus</w:t>
      </w:r>
      <w:r w:rsidRPr="002B7A44">
        <w:rPr>
          <w:rFonts w:ascii="Times New Roman" w:hAnsi="Times New Roman" w:cs="Times New Roman"/>
          <w:b/>
          <w:bCs/>
          <w:sz w:val="24"/>
        </w:rPr>
        <w:t>.</w:t>
      </w:r>
      <w:r w:rsidRPr="002B7A44">
        <w:rPr>
          <w:rFonts w:ascii="Times New Roman" w:hAnsi="Times New Roman" w:cs="Times New Roman"/>
          <w:sz w:val="24"/>
        </w:rPr>
        <w:t xml:space="preserve"> </w:t>
      </w:r>
      <w:r w:rsidRPr="002B7A44">
        <w:rPr>
          <w:rFonts w:ascii="Times New Roman" w:hAnsi="Times New Roman" w:cs="Times New Roman"/>
          <w:b/>
          <w:bCs/>
          <w:sz w:val="24"/>
        </w:rPr>
        <w:t>(A)</w:t>
      </w:r>
      <w:r w:rsidRPr="002B7A44">
        <w:rPr>
          <w:rFonts w:ascii="Times New Roman" w:hAnsi="Times New Roman" w:cs="Times New Roman"/>
          <w:sz w:val="24"/>
        </w:rPr>
        <w:t xml:space="preserve"> Analysis of H3K4me3 </w:t>
      </w:r>
      <w:proofErr w:type="spellStart"/>
      <w:r w:rsidRPr="002B7A44">
        <w:rPr>
          <w:rFonts w:ascii="Times New Roman" w:hAnsi="Times New Roman" w:cs="Times New Roman"/>
          <w:sz w:val="24"/>
        </w:rPr>
        <w:t>ChIP</w:t>
      </w:r>
      <w:proofErr w:type="spellEnd"/>
      <w:r w:rsidRPr="002B7A44">
        <w:rPr>
          <w:rFonts w:ascii="Times New Roman" w:hAnsi="Times New Roman" w:cs="Times New Roman"/>
          <w:sz w:val="24"/>
        </w:rPr>
        <w:t>-seq of HepG2 cells in the CDKN1A and CDKN2B locus.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134AD2">
        <w:rPr>
          <w:rFonts w:ascii="Times New Roman" w:hAnsi="Times New Roman" w:cs="Times New Roman" w:hint="eastAsia"/>
          <w:b/>
          <w:bCs/>
          <w:sz w:val="24"/>
        </w:rPr>
        <w:t>(</w:t>
      </w:r>
      <w:r w:rsidR="00134AD2">
        <w:rPr>
          <w:rFonts w:ascii="Times New Roman" w:hAnsi="Times New Roman" w:cs="Times New Roman"/>
          <w:b/>
          <w:bCs/>
          <w:sz w:val="24"/>
        </w:rPr>
        <w:t xml:space="preserve">B) </w:t>
      </w:r>
      <w:r w:rsidR="00134AD2" w:rsidRPr="00134AD2">
        <w:rPr>
          <w:rFonts w:ascii="Times New Roman" w:hAnsi="Times New Roman" w:cs="Times New Roman"/>
          <w:sz w:val="24"/>
        </w:rPr>
        <w:t>The binding of SNHG1 and EZH2 in</w:t>
      </w:r>
      <w:r w:rsidR="00134AD2">
        <w:rPr>
          <w:rFonts w:ascii="Times New Roman" w:hAnsi="Times New Roman" w:cs="Times New Roman"/>
          <w:b/>
          <w:bCs/>
          <w:sz w:val="24"/>
        </w:rPr>
        <w:t xml:space="preserve"> </w:t>
      </w:r>
      <w:r w:rsidR="00134AD2" w:rsidRPr="00FB401D">
        <w:rPr>
          <w:rFonts w:ascii="Times New Roman" w:hAnsi="Times New Roman" w:cs="Times New Roman"/>
          <w:sz w:val="24"/>
          <w:shd w:val="clear" w:color="auto" w:fill="FFFFFF"/>
        </w:rPr>
        <w:t>HepG2 and SMMC-7721</w:t>
      </w:r>
      <w:r w:rsidR="00134AD2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134AD2" w:rsidRPr="00134AD2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(C) </w:t>
      </w:r>
      <w:r w:rsidR="00134AD2" w:rsidRPr="00134AD2">
        <w:rPr>
          <w:rFonts w:ascii="Times New Roman" w:hAnsi="Times New Roman" w:cs="Times New Roman"/>
          <w:sz w:val="24"/>
        </w:rPr>
        <w:t xml:space="preserve">The binding of SNHG1 and EZH2 in </w:t>
      </w:r>
      <w:r w:rsidR="00134AD2" w:rsidRPr="00FB401D">
        <w:rPr>
          <w:rFonts w:ascii="Times New Roman" w:hAnsi="Times New Roman" w:cs="Times New Roman"/>
          <w:sz w:val="24"/>
          <w:shd w:val="clear" w:color="auto" w:fill="FFFFFF"/>
        </w:rPr>
        <w:t>HCC primary cells (Sample#1 and Sample#5)</w:t>
      </w:r>
      <w:r w:rsidR="00134AD2"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134AD2" w:rsidRPr="002B7A44">
        <w:rPr>
          <w:rFonts w:ascii="Times New Roman" w:hAnsi="Times New Roman" w:cs="Times New Roman"/>
          <w:sz w:val="24"/>
          <w:vertAlign w:val="superscript"/>
        </w:rPr>
        <w:t>*</w:t>
      </w:r>
      <w:r w:rsidR="00134AD2">
        <w:rPr>
          <w:rFonts w:ascii="Times New Roman" w:hAnsi="Times New Roman" w:cs="Times New Roman"/>
          <w:sz w:val="24"/>
          <w:vertAlign w:val="superscript"/>
        </w:rPr>
        <w:t>*</w:t>
      </w:r>
      <w:r w:rsidR="00134AD2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134AD2" w:rsidRPr="002B7A44">
        <w:rPr>
          <w:rFonts w:ascii="Times New Roman" w:hAnsi="Times New Roman" w:cs="Times New Roman"/>
          <w:sz w:val="24"/>
        </w:rPr>
        <w:t>&lt; 0.0</w:t>
      </w:r>
      <w:r w:rsidR="00134AD2">
        <w:rPr>
          <w:rFonts w:ascii="Times New Roman" w:hAnsi="Times New Roman" w:cs="Times New Roman"/>
          <w:sz w:val="24"/>
        </w:rPr>
        <w:t>1</w:t>
      </w:r>
      <w:r w:rsidR="00134AD2" w:rsidRPr="002B7A44">
        <w:rPr>
          <w:rFonts w:ascii="Times New Roman" w:hAnsi="Times New Roman" w:cs="Times New Roman"/>
          <w:sz w:val="24"/>
        </w:rPr>
        <w:t xml:space="preserve"> compared with </w:t>
      </w:r>
      <w:r w:rsidR="00134AD2">
        <w:rPr>
          <w:rFonts w:ascii="Times New Roman" w:hAnsi="Times New Roman" w:cs="Times New Roman"/>
          <w:sz w:val="24"/>
        </w:rPr>
        <w:t>IgG.</w:t>
      </w:r>
    </w:p>
    <w:p w14:paraId="4D3C714A" w14:textId="55572802" w:rsidR="00134AD2" w:rsidRDefault="00134AD2" w:rsidP="002836FA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>Supplementary Figure S</w:t>
      </w:r>
      <w:r w:rsidR="00626EFC">
        <w:rPr>
          <w:rFonts w:ascii="Times New Roman" w:hAnsi="Times New Roman" w:cs="Times New Roman"/>
          <w:b/>
          <w:bCs/>
          <w:sz w:val="24"/>
        </w:rPr>
        <w:t>6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: SNHG1 </w:t>
      </w:r>
      <w:r>
        <w:rPr>
          <w:rFonts w:ascii="Times New Roman" w:hAnsi="Times New Roman" w:cs="Times New Roman"/>
          <w:b/>
          <w:bCs/>
          <w:sz w:val="24"/>
        </w:rPr>
        <w:t>overexpression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promoted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HCC cell growth, migration and invasion through </w:t>
      </w:r>
      <w:r w:rsidR="008B4634">
        <w:rPr>
          <w:rFonts w:ascii="Times New Roman" w:hAnsi="Times New Roman" w:cs="Times New Roman"/>
          <w:b/>
          <w:bCs/>
          <w:sz w:val="24"/>
        </w:rPr>
        <w:t>EZH2</w:t>
      </w:r>
      <w:r w:rsidRPr="002B7A44">
        <w:rPr>
          <w:rFonts w:ascii="Times New Roman" w:hAnsi="Times New Roman" w:cs="Times New Roman"/>
          <w:b/>
          <w:bCs/>
          <w:sz w:val="24"/>
        </w:rPr>
        <w:t>.</w:t>
      </w:r>
    </w:p>
    <w:p w14:paraId="664B4962" w14:textId="6BEC8AC0" w:rsidR="0031002A" w:rsidRPr="002836FA" w:rsidRDefault="008B4634" w:rsidP="002836FA">
      <w:pPr>
        <w:adjustRightInd w:val="0"/>
        <w:snapToGrid w:val="0"/>
        <w:spacing w:line="480" w:lineRule="auto"/>
        <w:rPr>
          <w:rFonts w:ascii="Times New Roman" w:hAnsi="Times New Roman" w:cs="Times New Roman" w:hint="eastAsia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(</w:t>
      </w:r>
      <w:r>
        <w:rPr>
          <w:rFonts w:ascii="Times New Roman" w:hAnsi="Times New Roman" w:cs="Times New Roman"/>
          <w:b/>
          <w:bCs/>
          <w:sz w:val="24"/>
        </w:rPr>
        <w:t xml:space="preserve">A) </w:t>
      </w:r>
      <w:r w:rsidRPr="008B4634">
        <w:rPr>
          <w:rFonts w:ascii="Times New Roman" w:hAnsi="Times New Roman" w:cs="Times New Roman"/>
          <w:color w:val="31353B"/>
          <w:sz w:val="24"/>
          <w:lang w:val="en-GB"/>
        </w:rPr>
        <w:t xml:space="preserve">The indicated protein expression after the overexpression of </w:t>
      </w:r>
      <w:r w:rsidRPr="00186219">
        <w:rPr>
          <w:rFonts w:ascii="Times New Roman" w:hAnsi="Times New Roman" w:cs="Times New Roman"/>
          <w:color w:val="31353B"/>
          <w:sz w:val="24"/>
          <w:lang w:val="en-GB"/>
        </w:rPr>
        <w:t>Y731D mutation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 or </w:t>
      </w:r>
      <w:r w:rsidRPr="008B4634">
        <w:rPr>
          <w:rFonts w:ascii="Times New Roman" w:hAnsi="Times New Roman" w:cs="Times New Roman"/>
          <w:color w:val="31353B"/>
          <w:sz w:val="24"/>
          <w:lang w:val="en-GB"/>
        </w:rPr>
        <w:t>wild-type EZH2.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 </w:t>
      </w:r>
      <w:r w:rsidRPr="008B4634">
        <w:rPr>
          <w:rFonts w:ascii="Times New Roman" w:hAnsi="Times New Roman" w:cs="Times New Roman"/>
          <w:b/>
          <w:bCs/>
          <w:color w:val="31353B"/>
          <w:sz w:val="24"/>
          <w:lang w:val="en-GB"/>
        </w:rPr>
        <w:t>(B)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 The effect of </w:t>
      </w:r>
      <w:r w:rsidRPr="00186219">
        <w:rPr>
          <w:rFonts w:ascii="Times New Roman" w:hAnsi="Times New Roman" w:cs="Times New Roman"/>
          <w:color w:val="31353B"/>
          <w:sz w:val="24"/>
          <w:lang w:val="en-GB"/>
        </w:rPr>
        <w:t>Y731D mutation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 or </w:t>
      </w:r>
      <w:r w:rsidRPr="008B4634">
        <w:rPr>
          <w:rFonts w:ascii="Times New Roman" w:hAnsi="Times New Roman" w:cs="Times New Roman"/>
          <w:color w:val="31353B"/>
          <w:sz w:val="24"/>
          <w:lang w:val="en-GB"/>
        </w:rPr>
        <w:t>wild-type EZH2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 on HCC</w:t>
      </w:r>
      <w:r w:rsidRPr="008B4634">
        <w:t xml:space="preserve"> </w:t>
      </w:r>
      <w:r w:rsidRPr="008B4634">
        <w:rPr>
          <w:rFonts w:ascii="Times New Roman" w:hAnsi="Times New Roman" w:cs="Times New Roman"/>
          <w:color w:val="31353B"/>
          <w:sz w:val="24"/>
          <w:lang w:val="en-GB"/>
        </w:rPr>
        <w:t>cell proliferation</w:t>
      </w:r>
      <w:r>
        <w:rPr>
          <w:rFonts w:ascii="Times New Roman" w:hAnsi="Times New Roman" w:cs="Times New Roman"/>
          <w:color w:val="31353B"/>
          <w:sz w:val="24"/>
          <w:lang w:val="en-GB"/>
        </w:rPr>
        <w:t xml:space="preserve">.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(C-D). </w:t>
      </w:r>
      <w:r w:rsidR="0031002A" w:rsidRPr="002B7A44">
        <w:rPr>
          <w:rFonts w:ascii="Times New Roman" w:hAnsi="Times New Roman" w:cs="Times New Roman"/>
          <w:sz w:val="24"/>
        </w:rPr>
        <w:t>MTT assays demonstrated that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>EZH2 knockdown could partly reverse growth promotion caused by SNHG1 overexpression in HepG2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(C)</w:t>
      </w:r>
      <w:r w:rsidR="0031002A" w:rsidRPr="002B7A44">
        <w:rPr>
          <w:rFonts w:ascii="Times New Roman" w:hAnsi="Times New Roman" w:cs="Times New Roman"/>
          <w:sz w:val="24"/>
        </w:rPr>
        <w:t xml:space="preserve"> and SMMC-7721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>(D)</w:t>
      </w:r>
      <w:r w:rsidR="0031002A" w:rsidRPr="002B7A44">
        <w:rPr>
          <w:rFonts w:ascii="Times New Roman" w:hAnsi="Times New Roman" w:cs="Times New Roman"/>
          <w:sz w:val="24"/>
        </w:rPr>
        <w:t xml:space="preserve">.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(E-F) </w:t>
      </w:r>
      <w:r w:rsidR="0031002A" w:rsidRPr="002B7A44">
        <w:rPr>
          <w:rFonts w:ascii="Times New Roman" w:hAnsi="Times New Roman" w:cs="Times New Roman"/>
          <w:sz w:val="24"/>
        </w:rPr>
        <w:t>Flow cytometric cell cycle distribution assays demonstrated that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>EZH2 knockdown could partly reverse the change of cell cycle caused by SNHG1 overexpression in HepG2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(E)</w:t>
      </w:r>
      <w:r w:rsidR="0031002A" w:rsidRPr="002B7A44">
        <w:rPr>
          <w:rFonts w:ascii="Times New Roman" w:hAnsi="Times New Roman" w:cs="Times New Roman"/>
          <w:sz w:val="24"/>
        </w:rPr>
        <w:t xml:space="preserve"> and SMMC-7721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>(F)</w:t>
      </w:r>
      <w:r w:rsidR="0031002A" w:rsidRPr="002B7A44">
        <w:rPr>
          <w:rFonts w:ascii="Times New Roman" w:hAnsi="Times New Roman" w:cs="Times New Roman"/>
          <w:sz w:val="24"/>
        </w:rPr>
        <w:t xml:space="preserve">.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(G) </w:t>
      </w:r>
      <w:r w:rsidR="0031002A" w:rsidRPr="002B7A44">
        <w:rPr>
          <w:rFonts w:ascii="Times New Roman" w:hAnsi="Times New Roman" w:cs="Times New Roman"/>
          <w:sz w:val="24"/>
        </w:rPr>
        <w:t>Wound healing assay demonstrated that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>EZH2 knockdown could partly reverse migration promotion caused by SNHG1 overexpression in HepG2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 xml:space="preserve">and SMMC-7721. 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(H) </w:t>
      </w:r>
      <w:proofErr w:type="spellStart"/>
      <w:r w:rsidR="0031002A" w:rsidRPr="002B7A44">
        <w:rPr>
          <w:rFonts w:ascii="Times New Roman" w:hAnsi="Times New Roman" w:cs="Times New Roman"/>
          <w:sz w:val="24"/>
        </w:rPr>
        <w:t>Transwell</w:t>
      </w:r>
      <w:proofErr w:type="spellEnd"/>
      <w:r w:rsidR="0031002A" w:rsidRPr="002B7A44">
        <w:rPr>
          <w:rFonts w:ascii="Times New Roman" w:hAnsi="Times New Roman" w:cs="Times New Roman"/>
          <w:sz w:val="24"/>
        </w:rPr>
        <w:t xml:space="preserve"> invasion assay demonstrated that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>EZH2 knockdown could partly reverse invasion promotion caused by SNHG1 overexpression in HepG2</w:t>
      </w:r>
      <w:r w:rsidR="0031002A"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="0031002A" w:rsidRPr="002B7A44">
        <w:rPr>
          <w:rFonts w:ascii="Times New Roman" w:hAnsi="Times New Roman" w:cs="Times New Roman"/>
          <w:sz w:val="24"/>
        </w:rPr>
        <w:t xml:space="preserve">and SMMC-7721. </w:t>
      </w:r>
      <w:r w:rsidR="0031002A" w:rsidRPr="002B7A44">
        <w:rPr>
          <w:rFonts w:ascii="Times New Roman" w:hAnsi="Times New Roman" w:cs="Times New Roman"/>
          <w:sz w:val="24"/>
          <w:vertAlign w:val="superscript"/>
        </w:rPr>
        <w:t>*</w:t>
      </w:r>
      <w:r w:rsidR="0031002A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31002A" w:rsidRPr="002B7A44">
        <w:rPr>
          <w:rFonts w:ascii="Times New Roman" w:hAnsi="Times New Roman" w:cs="Times New Roman"/>
          <w:sz w:val="24"/>
        </w:rPr>
        <w:lastRenderedPageBreak/>
        <w:t xml:space="preserve">&lt; 0.05 compared with vehicle, </w:t>
      </w:r>
      <w:r w:rsidR="0031002A" w:rsidRPr="002B7A44">
        <w:rPr>
          <w:rFonts w:ascii="Times New Roman" w:hAnsi="Times New Roman" w:cs="Times New Roman"/>
          <w:sz w:val="24"/>
          <w:vertAlign w:val="superscript"/>
        </w:rPr>
        <w:t>#</w:t>
      </w:r>
      <w:r w:rsidR="0031002A"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="0031002A" w:rsidRPr="002B7A44">
        <w:rPr>
          <w:rFonts w:ascii="Times New Roman" w:hAnsi="Times New Roman" w:cs="Times New Roman"/>
          <w:sz w:val="24"/>
        </w:rPr>
        <w:t>&lt; 0.05 compared with Lenti-SNHG1.</w:t>
      </w:r>
    </w:p>
    <w:p w14:paraId="27B0F893" w14:textId="736FB1F0" w:rsidR="00E74415" w:rsidRDefault="0031002A" w:rsidP="002836FA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2B7A44">
        <w:rPr>
          <w:rFonts w:ascii="Times New Roman" w:hAnsi="Times New Roman" w:cs="Times New Roman"/>
          <w:b/>
          <w:bCs/>
          <w:sz w:val="24"/>
        </w:rPr>
        <w:t>Supplementary Figure S</w:t>
      </w:r>
      <w:r w:rsidR="008B4634">
        <w:rPr>
          <w:rFonts w:ascii="Times New Roman" w:hAnsi="Times New Roman" w:cs="Times New Roman"/>
          <w:b/>
          <w:bCs/>
          <w:sz w:val="24"/>
        </w:rPr>
        <w:t>7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: SNHG 1 promotes HCC progression partly by regulating </w:t>
      </w:r>
      <w:bookmarkStart w:id="1" w:name="_Hlk41916841"/>
      <w:r w:rsidRPr="002B7A44">
        <w:rPr>
          <w:rFonts w:ascii="Times New Roman" w:hAnsi="Times New Roman" w:cs="Times New Roman"/>
          <w:b/>
          <w:bCs/>
          <w:sz w:val="24"/>
        </w:rPr>
        <w:t xml:space="preserve">CDKN1A and CDKN2B </w:t>
      </w:r>
      <w:bookmarkEnd w:id="1"/>
      <w:r w:rsidRPr="002B7A44">
        <w:rPr>
          <w:rFonts w:ascii="Times New Roman" w:hAnsi="Times New Roman" w:cs="Times New Roman"/>
          <w:b/>
          <w:bCs/>
          <w:sz w:val="24"/>
        </w:rPr>
        <w:t xml:space="preserve">expression. (A-B) </w:t>
      </w:r>
      <w:r w:rsidRPr="002B7A44">
        <w:rPr>
          <w:rFonts w:ascii="Times New Roman" w:hAnsi="Times New Roman" w:cs="Times New Roman"/>
          <w:sz w:val="24"/>
        </w:rPr>
        <w:t>MTT assays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>CDKN1A or CDKN2B overexpression could partly reverse growth promotion caused by SNHG1 overexpression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(A)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(B)</w:t>
      </w:r>
      <w:r w:rsidRPr="002B7A44">
        <w:rPr>
          <w:rFonts w:ascii="Times New Roman" w:hAnsi="Times New Roman" w:cs="Times New Roman"/>
          <w:sz w:val="24"/>
        </w:rPr>
        <w:t xml:space="preserve">. 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(C-D) </w:t>
      </w:r>
      <w:r w:rsidRPr="002B7A44">
        <w:rPr>
          <w:rFonts w:ascii="Times New Roman" w:hAnsi="Times New Roman" w:cs="Times New Roman"/>
          <w:sz w:val="24"/>
        </w:rPr>
        <w:t>Flow cytometric cell cycle distribution assays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>CDKN1A or CDKN2B overexpression could partly reverse the change of cell cycle caused by SNHG1 overexpression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(C)</w:t>
      </w:r>
      <w:r w:rsidRPr="002B7A44">
        <w:rPr>
          <w:rFonts w:ascii="Times New Roman" w:hAnsi="Times New Roman" w:cs="Times New Roman"/>
          <w:sz w:val="24"/>
        </w:rPr>
        <w:t xml:space="preserve"> and SMMC-7721 </w:t>
      </w:r>
      <w:r w:rsidRPr="002B7A44">
        <w:rPr>
          <w:rFonts w:ascii="Times New Roman" w:hAnsi="Times New Roman" w:cs="Times New Roman"/>
          <w:b/>
          <w:bCs/>
          <w:sz w:val="24"/>
        </w:rPr>
        <w:t>(D)</w:t>
      </w:r>
      <w:r w:rsidRPr="002B7A44">
        <w:rPr>
          <w:rFonts w:ascii="Times New Roman" w:hAnsi="Times New Roman" w:cs="Times New Roman"/>
          <w:sz w:val="24"/>
        </w:rPr>
        <w:t xml:space="preserve">. 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(E) </w:t>
      </w:r>
      <w:r w:rsidRPr="002B7A44">
        <w:rPr>
          <w:rFonts w:ascii="Times New Roman" w:hAnsi="Times New Roman" w:cs="Times New Roman"/>
          <w:sz w:val="24"/>
        </w:rPr>
        <w:t>Wound healing assay demonstrated that CDKN1A or CDKN2B overexpression could partly reverse migration promotion caused by SNHG1 overexpression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 xml:space="preserve">and SMMC-7721. 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(F) </w:t>
      </w:r>
      <w:proofErr w:type="spellStart"/>
      <w:r w:rsidRPr="002B7A44">
        <w:rPr>
          <w:rFonts w:ascii="Times New Roman" w:hAnsi="Times New Roman" w:cs="Times New Roman"/>
          <w:sz w:val="24"/>
        </w:rPr>
        <w:t>Transwell</w:t>
      </w:r>
      <w:proofErr w:type="spellEnd"/>
      <w:r w:rsidRPr="002B7A44">
        <w:rPr>
          <w:rFonts w:ascii="Times New Roman" w:hAnsi="Times New Roman" w:cs="Times New Roman"/>
          <w:sz w:val="24"/>
        </w:rPr>
        <w:t xml:space="preserve"> invasion assay demonstrated that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>CDKN1A or CDKN2B overexpression could partly reverse invasion promotion caused by SNHG1 overexpression in HepG2</w:t>
      </w:r>
      <w:r w:rsidRPr="002B7A44">
        <w:rPr>
          <w:rFonts w:ascii="Times New Roman" w:hAnsi="Times New Roman" w:cs="Times New Roman"/>
          <w:b/>
          <w:bCs/>
          <w:sz w:val="24"/>
        </w:rPr>
        <w:t xml:space="preserve"> </w:t>
      </w:r>
      <w:r w:rsidRPr="002B7A44">
        <w:rPr>
          <w:rFonts w:ascii="Times New Roman" w:hAnsi="Times New Roman" w:cs="Times New Roman"/>
          <w:sz w:val="24"/>
        </w:rPr>
        <w:t xml:space="preserve">and SMMC-7721. </w:t>
      </w:r>
      <w:r w:rsidRPr="002B7A44">
        <w:rPr>
          <w:rFonts w:ascii="Times New Roman" w:hAnsi="Times New Roman" w:cs="Times New Roman"/>
          <w:sz w:val="24"/>
          <w:vertAlign w:val="superscript"/>
        </w:rPr>
        <w:t>*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 xml:space="preserve">&lt; 0.05 compared with vehicle, </w:t>
      </w:r>
      <w:r w:rsidRPr="002B7A44">
        <w:rPr>
          <w:rFonts w:ascii="Times New Roman" w:hAnsi="Times New Roman" w:cs="Times New Roman"/>
          <w:sz w:val="24"/>
          <w:vertAlign w:val="superscript"/>
        </w:rPr>
        <w:t>#</w:t>
      </w:r>
      <w:r w:rsidRPr="002B7A44">
        <w:rPr>
          <w:rFonts w:ascii="Times New Roman" w:hAnsi="Times New Roman" w:cs="Times New Roman"/>
          <w:i/>
          <w:iCs/>
          <w:sz w:val="24"/>
        </w:rPr>
        <w:t xml:space="preserve">P </w:t>
      </w:r>
      <w:r w:rsidRPr="002B7A44">
        <w:rPr>
          <w:rFonts w:ascii="Times New Roman" w:hAnsi="Times New Roman" w:cs="Times New Roman"/>
          <w:sz w:val="24"/>
        </w:rPr>
        <w:t>&lt; 0.05 compared with Lenti-SNHG1.</w:t>
      </w:r>
    </w:p>
    <w:p w14:paraId="6B9134DC" w14:textId="119F3E1B" w:rsidR="008B4634" w:rsidRPr="002836FA" w:rsidRDefault="008B4634" w:rsidP="002836FA">
      <w:pPr>
        <w:spacing w:line="480" w:lineRule="auto"/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</w:pPr>
      <w:r w:rsidRPr="008B4634">
        <w:rPr>
          <w:rFonts w:ascii="Times New Roman" w:hAnsi="Times New Roman" w:cs="Times New Roman"/>
          <w:b/>
          <w:bCs/>
          <w:sz w:val="24"/>
        </w:rPr>
        <w:t xml:space="preserve">Supplementary Figure S8: SP1 promoted SNHG1 expression in HCC. </w:t>
      </w:r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(A) Expression of SP1 in the TCGA LIHC cohorts. (B) The correlation between SP1 and SNHG1 expression in the TCGA LIHC cohorts. (C) Analysis of SP1 </w:t>
      </w:r>
      <w:proofErr w:type="spellStart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>ChIP</w:t>
      </w:r>
      <w:proofErr w:type="spellEnd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-seq data of HepG2 cells in the SNHG1 locus from CORE database. (D-G) SNHG1 expression was detected by </w:t>
      </w:r>
      <w:proofErr w:type="spellStart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>qRT</w:t>
      </w:r>
      <w:proofErr w:type="spellEnd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-PCR in HepG2 and SMMC-7721 cells infected with SP1 </w:t>
      </w:r>
      <w:proofErr w:type="spellStart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>shRNAs</w:t>
      </w:r>
      <w:proofErr w:type="spellEnd"/>
      <w:r w:rsidRPr="0018621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or the SP1 vector.</w:t>
      </w:r>
    </w:p>
    <w:sectPr w:rsidR="008B4634" w:rsidRPr="002836FA" w:rsidSect="00F4294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233C96" w14:textId="77777777" w:rsidR="0062105C" w:rsidRDefault="0062105C" w:rsidP="0053278D">
      <w:r>
        <w:separator/>
      </w:r>
    </w:p>
  </w:endnote>
  <w:endnote w:type="continuationSeparator" w:id="0">
    <w:p w14:paraId="3393A096" w14:textId="77777777" w:rsidR="0062105C" w:rsidRDefault="0062105C" w:rsidP="0053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3A33F3" w14:textId="77777777" w:rsidR="0062105C" w:rsidRDefault="0062105C" w:rsidP="0053278D">
      <w:r>
        <w:separator/>
      </w:r>
    </w:p>
  </w:footnote>
  <w:footnote w:type="continuationSeparator" w:id="0">
    <w:p w14:paraId="63EF297D" w14:textId="77777777" w:rsidR="0062105C" w:rsidRDefault="0062105C" w:rsidP="005327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5A"/>
    <w:rsid w:val="00012C1B"/>
    <w:rsid w:val="00085D68"/>
    <w:rsid w:val="000E05F1"/>
    <w:rsid w:val="00134AD2"/>
    <w:rsid w:val="0019551F"/>
    <w:rsid w:val="001B6768"/>
    <w:rsid w:val="001B7545"/>
    <w:rsid w:val="001F0185"/>
    <w:rsid w:val="00275213"/>
    <w:rsid w:val="002836FA"/>
    <w:rsid w:val="002B1711"/>
    <w:rsid w:val="0030405A"/>
    <w:rsid w:val="0031002A"/>
    <w:rsid w:val="00357FD1"/>
    <w:rsid w:val="0039098A"/>
    <w:rsid w:val="0039313F"/>
    <w:rsid w:val="004234EF"/>
    <w:rsid w:val="0043752B"/>
    <w:rsid w:val="00442D70"/>
    <w:rsid w:val="00491105"/>
    <w:rsid w:val="004B1544"/>
    <w:rsid w:val="004E476A"/>
    <w:rsid w:val="004E647A"/>
    <w:rsid w:val="005202C1"/>
    <w:rsid w:val="00524184"/>
    <w:rsid w:val="00524AB3"/>
    <w:rsid w:val="0053278D"/>
    <w:rsid w:val="005425D9"/>
    <w:rsid w:val="00597367"/>
    <w:rsid w:val="005B649F"/>
    <w:rsid w:val="005C51BF"/>
    <w:rsid w:val="0062105C"/>
    <w:rsid w:val="00626EFC"/>
    <w:rsid w:val="006D22B6"/>
    <w:rsid w:val="00707262"/>
    <w:rsid w:val="007135C0"/>
    <w:rsid w:val="00842EEF"/>
    <w:rsid w:val="00853126"/>
    <w:rsid w:val="008726B3"/>
    <w:rsid w:val="008B4634"/>
    <w:rsid w:val="008E168D"/>
    <w:rsid w:val="00A07DAE"/>
    <w:rsid w:val="00A44629"/>
    <w:rsid w:val="00B51658"/>
    <w:rsid w:val="00BA00C4"/>
    <w:rsid w:val="00BF4587"/>
    <w:rsid w:val="00C46FB3"/>
    <w:rsid w:val="00C87E88"/>
    <w:rsid w:val="00C90E62"/>
    <w:rsid w:val="00C94E87"/>
    <w:rsid w:val="00CB2BDF"/>
    <w:rsid w:val="00CC3EDE"/>
    <w:rsid w:val="00CD374F"/>
    <w:rsid w:val="00D059CA"/>
    <w:rsid w:val="00D9196A"/>
    <w:rsid w:val="00D96B67"/>
    <w:rsid w:val="00E01ED2"/>
    <w:rsid w:val="00E51999"/>
    <w:rsid w:val="00E74415"/>
    <w:rsid w:val="00EC0CBE"/>
    <w:rsid w:val="00ED4E92"/>
    <w:rsid w:val="00F03B9D"/>
    <w:rsid w:val="00F42944"/>
    <w:rsid w:val="00F7003C"/>
    <w:rsid w:val="00F8094B"/>
    <w:rsid w:val="00F84F30"/>
    <w:rsid w:val="00F9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E01D8"/>
  <w15:docId w15:val="{46E45212-418C-412D-AE3F-A427B06E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8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7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27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27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278D"/>
    <w:rPr>
      <w:sz w:val="18"/>
      <w:szCs w:val="18"/>
    </w:rPr>
  </w:style>
  <w:style w:type="table" w:styleId="a7">
    <w:name w:val="Table Grid"/>
    <w:basedOn w:val="a1"/>
    <w:rsid w:val="0053278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2EE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42EEF"/>
    <w:rPr>
      <w:sz w:val="18"/>
      <w:szCs w:val="18"/>
    </w:rPr>
  </w:style>
  <w:style w:type="character" w:customStyle="1" w:styleId="skip">
    <w:name w:val="skip"/>
    <w:basedOn w:val="a0"/>
    <w:rsid w:val="005B649F"/>
  </w:style>
  <w:style w:type="character" w:styleId="aa">
    <w:name w:val="Hyperlink"/>
    <w:basedOn w:val="a0"/>
    <w:uiPriority w:val="99"/>
    <w:semiHidden/>
    <w:unhideWhenUsed/>
    <w:rsid w:val="005B649F"/>
    <w:rPr>
      <w:color w:val="0000FF"/>
      <w:u w:val="single"/>
    </w:rPr>
  </w:style>
  <w:style w:type="character" w:styleId="ab">
    <w:name w:val="Emphasis"/>
    <w:basedOn w:val="a0"/>
    <w:uiPriority w:val="20"/>
    <w:qFormat/>
    <w:rsid w:val="00CD37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7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857</Words>
  <Characters>4887</Characters>
  <Application>Microsoft Office Word</Application>
  <DocSecurity>0</DocSecurity>
  <Lines>40</Lines>
  <Paragraphs>11</Paragraphs>
  <ScaleCrop>false</ScaleCrop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dianteng</dc:creator>
  <cp:keywords/>
  <dc:description/>
  <cp:lastModifiedBy>Adm</cp:lastModifiedBy>
  <cp:revision>4</cp:revision>
  <dcterms:created xsi:type="dcterms:W3CDTF">2020-09-03T08:49:00Z</dcterms:created>
  <dcterms:modified xsi:type="dcterms:W3CDTF">2020-09-08T01:37:00Z</dcterms:modified>
</cp:coreProperties>
</file>