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D25B68" w14:textId="27403EFD" w:rsidR="00CE705B" w:rsidRPr="00CE705B" w:rsidRDefault="00CE705B" w:rsidP="00EA0E3A">
      <w:pPr>
        <w:spacing w:beforeLines="50" w:before="211" w:afterLines="50" w:after="211" w:line="360" w:lineRule="auto"/>
        <w:outlineLvl w:val="0"/>
        <w:rPr>
          <w:rFonts w:ascii="Arial" w:hAnsi="Arial" w:cs="Arial" w:hint="eastAsia"/>
          <w:b/>
          <w:bCs/>
          <w:iCs/>
          <w:sz w:val="30"/>
          <w:szCs w:val="30"/>
        </w:rPr>
      </w:pPr>
      <w:bookmarkStart w:id="0" w:name="_GoBack"/>
      <w:r w:rsidRPr="00CE705B">
        <w:rPr>
          <w:rFonts w:ascii="Arial" w:hAnsi="Arial" w:cs="Arial"/>
          <w:b/>
          <w:bCs/>
          <w:iCs/>
          <w:sz w:val="30"/>
          <w:szCs w:val="30"/>
        </w:rPr>
        <w:t>Supplementary methods</w:t>
      </w:r>
    </w:p>
    <w:bookmarkEnd w:id="0"/>
    <w:p w14:paraId="7B48627C" w14:textId="77777777" w:rsidR="00EA0E3A" w:rsidRDefault="00EA0E3A" w:rsidP="00EA0E3A">
      <w:pPr>
        <w:spacing w:beforeLines="50" w:before="211" w:afterLines="50" w:after="211" w:line="360" w:lineRule="auto"/>
        <w:outlineLvl w:val="0"/>
        <w:rPr>
          <w:rFonts w:ascii="Arial" w:hAnsi="Arial" w:cs="Arial"/>
          <w:b/>
          <w:bCs/>
          <w:iCs/>
          <w:sz w:val="24"/>
          <w:szCs w:val="24"/>
        </w:rPr>
      </w:pPr>
      <w:r w:rsidRPr="00866CAB">
        <w:rPr>
          <w:rFonts w:ascii="Arial" w:hAnsi="Arial" w:cs="Arial"/>
          <w:b/>
          <w:bCs/>
          <w:iCs/>
          <w:sz w:val="24"/>
          <w:szCs w:val="24"/>
        </w:rPr>
        <w:t>RNA extraction, reverse transcription (RT) and quantitative PCR (qPCR)</w:t>
      </w:r>
    </w:p>
    <w:p w14:paraId="22F71626" w14:textId="77777777" w:rsidR="00EA0E3A" w:rsidRPr="00866CAB" w:rsidRDefault="00EA0E3A" w:rsidP="00EA0E3A">
      <w:pPr>
        <w:autoSpaceDE w:val="0"/>
        <w:autoSpaceDN w:val="0"/>
        <w:adjustRightInd w:val="0"/>
        <w:spacing w:line="360" w:lineRule="auto"/>
        <w:ind w:firstLineChars="100" w:firstLine="240"/>
        <w:rPr>
          <w:rFonts w:ascii="Arial" w:eastAsia="等线" w:hAnsi="Arial" w:cs="Arial"/>
          <w:bCs/>
          <w:kern w:val="0"/>
          <w:sz w:val="24"/>
          <w:szCs w:val="24"/>
        </w:rPr>
      </w:pPr>
      <w:r w:rsidRPr="00866CAB">
        <w:rPr>
          <w:rFonts w:ascii="Arial" w:eastAsia="等线" w:hAnsi="Arial" w:cs="Arial"/>
          <w:bCs/>
          <w:kern w:val="0"/>
          <w:sz w:val="24"/>
          <w:szCs w:val="24"/>
        </w:rPr>
        <w:t xml:space="preserve">Total RNA from tissue specimens and cells was extracted using </w:t>
      </w:r>
      <w:proofErr w:type="spellStart"/>
      <w:r w:rsidRPr="00866CAB">
        <w:rPr>
          <w:rFonts w:ascii="Arial" w:eastAsia="等线" w:hAnsi="Arial" w:cs="Arial"/>
          <w:bCs/>
          <w:kern w:val="0"/>
          <w:sz w:val="24"/>
          <w:szCs w:val="24"/>
        </w:rPr>
        <w:t>TRIzol</w:t>
      </w:r>
      <w:proofErr w:type="spellEnd"/>
      <w:r w:rsidRPr="00866CAB">
        <w:rPr>
          <w:rFonts w:ascii="Arial" w:eastAsia="等线" w:hAnsi="Arial" w:cs="Arial"/>
          <w:bCs/>
          <w:kern w:val="0"/>
          <w:sz w:val="24"/>
          <w:szCs w:val="24"/>
        </w:rPr>
        <w:t xml:space="preserve"> reagent (Invitrogen, USA). The RNA concentration and integrity were determined by spectrophotometry and standard RNA gel electrophoresis. RNA was reverse transcribed into </w:t>
      </w:r>
      <w:proofErr w:type="spellStart"/>
      <w:r w:rsidRPr="00866CAB">
        <w:rPr>
          <w:rFonts w:ascii="Arial" w:eastAsia="等线" w:hAnsi="Arial" w:cs="Arial"/>
          <w:bCs/>
          <w:kern w:val="0"/>
          <w:sz w:val="24"/>
          <w:szCs w:val="24"/>
        </w:rPr>
        <w:t>cDNAs</w:t>
      </w:r>
      <w:proofErr w:type="spellEnd"/>
      <w:r w:rsidRPr="00866CAB">
        <w:rPr>
          <w:rFonts w:ascii="Arial" w:eastAsia="等线" w:hAnsi="Arial" w:cs="Arial"/>
          <w:bCs/>
          <w:kern w:val="0"/>
          <w:sz w:val="24"/>
          <w:szCs w:val="24"/>
        </w:rPr>
        <w:t xml:space="preserve"> using a Primer-Script One Step RT-PCR kit (</w:t>
      </w:r>
      <w:proofErr w:type="spellStart"/>
      <w:r w:rsidRPr="00866CAB">
        <w:rPr>
          <w:rFonts w:ascii="Arial" w:eastAsia="等线" w:hAnsi="Arial" w:cs="Arial"/>
          <w:bCs/>
          <w:kern w:val="0"/>
          <w:sz w:val="24"/>
          <w:szCs w:val="24"/>
        </w:rPr>
        <w:t>TaKaRa</w:t>
      </w:r>
      <w:proofErr w:type="spellEnd"/>
      <w:r w:rsidRPr="00866CAB">
        <w:rPr>
          <w:rFonts w:ascii="Arial" w:eastAsia="等线" w:hAnsi="Arial" w:cs="Arial"/>
          <w:bCs/>
          <w:kern w:val="0"/>
          <w:sz w:val="24"/>
          <w:szCs w:val="24"/>
        </w:rPr>
        <w:t xml:space="preserve">, Dalian, China). The cDNA template was amplified by real-time PCR using a SYBR Premix </w:t>
      </w:r>
      <w:proofErr w:type="spellStart"/>
      <w:r w:rsidRPr="00866CAB">
        <w:rPr>
          <w:rFonts w:ascii="Arial" w:eastAsia="等线" w:hAnsi="Arial" w:cs="Arial"/>
          <w:bCs/>
          <w:kern w:val="0"/>
          <w:sz w:val="24"/>
          <w:szCs w:val="24"/>
        </w:rPr>
        <w:t>DimerEraser</w:t>
      </w:r>
      <w:proofErr w:type="spellEnd"/>
      <w:r w:rsidRPr="00866CAB">
        <w:rPr>
          <w:rFonts w:ascii="Arial" w:eastAsia="等线" w:hAnsi="Arial" w:cs="Arial"/>
          <w:bCs/>
          <w:kern w:val="0"/>
          <w:sz w:val="24"/>
          <w:szCs w:val="24"/>
        </w:rPr>
        <w:t xml:space="preserve"> kit (</w:t>
      </w:r>
      <w:proofErr w:type="spellStart"/>
      <w:r w:rsidRPr="00866CAB">
        <w:rPr>
          <w:rFonts w:ascii="Arial" w:eastAsia="等线" w:hAnsi="Arial" w:cs="Arial"/>
          <w:bCs/>
          <w:kern w:val="0"/>
          <w:sz w:val="24"/>
          <w:szCs w:val="24"/>
        </w:rPr>
        <w:t>TaKaRa</w:t>
      </w:r>
      <w:proofErr w:type="spellEnd"/>
      <w:r w:rsidRPr="00866CAB">
        <w:rPr>
          <w:rFonts w:ascii="Arial" w:eastAsia="等线" w:hAnsi="Arial" w:cs="Arial"/>
          <w:bCs/>
          <w:kern w:val="0"/>
          <w:sz w:val="24"/>
          <w:szCs w:val="24"/>
        </w:rPr>
        <w:t xml:space="preserve">). The primer sequences were used for PCR are listed in </w:t>
      </w:r>
      <w:r>
        <w:rPr>
          <w:rFonts w:ascii="Arial" w:eastAsia="等线" w:hAnsi="Arial" w:cs="Arial" w:hint="eastAsia"/>
          <w:bCs/>
          <w:kern w:val="0"/>
          <w:sz w:val="24"/>
          <w:szCs w:val="24"/>
        </w:rPr>
        <w:t>Supplementary</w:t>
      </w:r>
      <w:r>
        <w:rPr>
          <w:rFonts w:ascii="Arial" w:eastAsia="等线" w:hAnsi="Arial" w:cs="Arial"/>
          <w:bCs/>
          <w:kern w:val="0"/>
          <w:sz w:val="24"/>
          <w:szCs w:val="24"/>
        </w:rPr>
        <w:t xml:space="preserve"> file 2</w:t>
      </w:r>
      <w:r w:rsidRPr="00866CAB">
        <w:rPr>
          <w:rFonts w:ascii="Arial" w:eastAsia="等线" w:hAnsi="Arial" w:cs="Arial"/>
          <w:bCs/>
          <w:kern w:val="0"/>
          <w:sz w:val="24"/>
          <w:szCs w:val="24"/>
        </w:rPr>
        <w:t>. All PCRs were performed in triplicate. mRNA expression levels were normalized to those of actin.</w:t>
      </w:r>
    </w:p>
    <w:p w14:paraId="7C19873E" w14:textId="77777777" w:rsidR="00EA0E3A" w:rsidRPr="00866CAB" w:rsidRDefault="00EA0E3A" w:rsidP="00EA0E3A">
      <w:pPr>
        <w:autoSpaceDE w:val="0"/>
        <w:autoSpaceDN w:val="0"/>
        <w:adjustRightInd w:val="0"/>
        <w:spacing w:line="360" w:lineRule="auto"/>
        <w:ind w:firstLineChars="100" w:firstLine="240"/>
        <w:rPr>
          <w:rFonts w:ascii="Arial" w:eastAsia="等线" w:hAnsi="Arial" w:cs="Arial"/>
          <w:bCs/>
          <w:kern w:val="0"/>
          <w:sz w:val="24"/>
          <w:szCs w:val="24"/>
        </w:rPr>
      </w:pPr>
      <w:r w:rsidRPr="00866CAB">
        <w:rPr>
          <w:rFonts w:ascii="Arial" w:eastAsia="等线" w:hAnsi="Arial" w:cs="Arial"/>
          <w:bCs/>
          <w:kern w:val="0"/>
          <w:sz w:val="24"/>
          <w:szCs w:val="24"/>
        </w:rPr>
        <w:t>Real-time PCRs were performed in triplicate in an ABI7300 system (Applied Biosystems, Carlsbad, CA, USA). Gene expression in each sample was normalized to actin expression. The relative expression fold changes in mRNA expression were calculated by the 2</w:t>
      </w:r>
      <w:r w:rsidRPr="005F72E1">
        <w:rPr>
          <w:rFonts w:ascii="Arial" w:eastAsia="等线" w:hAnsi="Arial" w:cs="Arial"/>
          <w:bCs/>
          <w:kern w:val="0"/>
          <w:sz w:val="24"/>
          <w:szCs w:val="24"/>
          <w:vertAlign w:val="superscript"/>
        </w:rPr>
        <w:t>−ΔΔCt</w:t>
      </w:r>
      <w:r w:rsidRPr="00866CAB">
        <w:rPr>
          <w:rFonts w:ascii="Arial" w:eastAsia="等线" w:hAnsi="Arial" w:cs="Arial"/>
          <w:bCs/>
          <w:kern w:val="0"/>
          <w:sz w:val="24"/>
          <w:szCs w:val="24"/>
        </w:rPr>
        <w:t xml:space="preserve"> method.</w:t>
      </w:r>
    </w:p>
    <w:p w14:paraId="7A6654C0" w14:textId="77777777" w:rsidR="00EA0E3A" w:rsidRDefault="00EA0E3A" w:rsidP="00EA0E3A">
      <w:pPr>
        <w:autoSpaceDE w:val="0"/>
        <w:autoSpaceDN w:val="0"/>
        <w:adjustRightInd w:val="0"/>
        <w:spacing w:line="360" w:lineRule="auto"/>
        <w:outlineLvl w:val="0"/>
        <w:rPr>
          <w:rFonts w:ascii="Arial" w:hAnsi="Arial" w:cs="Arial"/>
          <w:b/>
          <w:bCs/>
          <w:iCs/>
          <w:sz w:val="24"/>
          <w:szCs w:val="24"/>
        </w:rPr>
      </w:pPr>
      <w:r w:rsidRPr="00866CAB">
        <w:rPr>
          <w:rFonts w:ascii="Arial" w:hAnsi="Arial" w:cs="Arial"/>
          <w:b/>
          <w:bCs/>
          <w:iCs/>
          <w:sz w:val="24"/>
          <w:szCs w:val="24"/>
        </w:rPr>
        <w:t>Cytoplasmic and nuclear RNA isolation</w:t>
      </w:r>
    </w:p>
    <w:p w14:paraId="42CE3413" w14:textId="77777777" w:rsidR="00EA0E3A" w:rsidRPr="009F23F8" w:rsidRDefault="00EA0E3A" w:rsidP="00EA0E3A">
      <w:pPr>
        <w:autoSpaceDE w:val="0"/>
        <w:autoSpaceDN w:val="0"/>
        <w:adjustRightInd w:val="0"/>
        <w:spacing w:line="360" w:lineRule="auto"/>
        <w:ind w:firstLineChars="100" w:firstLine="240"/>
        <w:rPr>
          <w:rFonts w:ascii="Arial" w:hAnsi="Arial" w:cs="Arial"/>
          <w:bCs/>
          <w:kern w:val="0"/>
          <w:sz w:val="24"/>
          <w:szCs w:val="24"/>
        </w:rPr>
      </w:pPr>
      <w:r w:rsidRPr="00866CAB">
        <w:rPr>
          <w:rFonts w:ascii="Arial" w:eastAsia="等线" w:hAnsi="Arial" w:cs="Arial"/>
          <w:bCs/>
          <w:kern w:val="0"/>
          <w:sz w:val="24"/>
          <w:szCs w:val="24"/>
        </w:rPr>
        <w:t>Cytoplasmic and nuclear RNA were isolated using an RNA Purification Kit (</w:t>
      </w:r>
      <w:proofErr w:type="spellStart"/>
      <w:r w:rsidRPr="00866CAB">
        <w:rPr>
          <w:rFonts w:ascii="Arial" w:eastAsia="等线" w:hAnsi="Arial" w:cs="Arial"/>
          <w:bCs/>
          <w:kern w:val="0"/>
          <w:sz w:val="24"/>
          <w:szCs w:val="24"/>
        </w:rPr>
        <w:t>Norgen</w:t>
      </w:r>
      <w:proofErr w:type="spellEnd"/>
      <w:r w:rsidRPr="00866CAB">
        <w:rPr>
          <w:rFonts w:ascii="Arial" w:eastAsia="等线" w:hAnsi="Arial" w:cs="Arial"/>
          <w:bCs/>
          <w:kern w:val="0"/>
          <w:sz w:val="24"/>
          <w:szCs w:val="24"/>
        </w:rPr>
        <w:t xml:space="preserve"> </w:t>
      </w:r>
      <w:proofErr w:type="spellStart"/>
      <w:r w:rsidRPr="00866CAB">
        <w:rPr>
          <w:rFonts w:ascii="Arial" w:eastAsia="等线" w:hAnsi="Arial" w:cs="Arial"/>
          <w:bCs/>
          <w:kern w:val="0"/>
          <w:sz w:val="24"/>
          <w:szCs w:val="24"/>
        </w:rPr>
        <w:t>Biotek</w:t>
      </w:r>
      <w:proofErr w:type="spellEnd"/>
      <w:r w:rsidRPr="00866CAB">
        <w:rPr>
          <w:rFonts w:ascii="Arial" w:eastAsia="等线" w:hAnsi="Arial" w:cs="Arial"/>
          <w:bCs/>
          <w:kern w:val="0"/>
          <w:sz w:val="24"/>
          <w:szCs w:val="24"/>
        </w:rPr>
        <w:t xml:space="preserve">, Thorold, ON, Canada) according to the manufacturer’s instructions. </w:t>
      </w:r>
      <w:r>
        <w:rPr>
          <w:rFonts w:ascii="Arial" w:eastAsia="等线" w:hAnsi="Arial" w:cs="Arial" w:hint="eastAsia"/>
          <w:bCs/>
          <w:kern w:val="0"/>
          <w:sz w:val="24"/>
          <w:szCs w:val="24"/>
        </w:rPr>
        <w:t>GAPDH</w:t>
      </w:r>
      <w:r w:rsidRPr="00866CAB">
        <w:rPr>
          <w:rFonts w:ascii="Arial" w:eastAsia="等线" w:hAnsi="Arial" w:cs="Arial"/>
          <w:bCs/>
          <w:kern w:val="0"/>
          <w:sz w:val="24"/>
          <w:szCs w:val="24"/>
        </w:rPr>
        <w:t xml:space="preserve"> was used to normalize cytoplasmic mRNA expression levels, and U6 was used to normalize nuclear mRNA expression levels. The relative fold changes in mRNA expression were calculated by the 2</w:t>
      </w:r>
      <w:r w:rsidRPr="005F72E1">
        <w:rPr>
          <w:rFonts w:ascii="Arial" w:eastAsia="等线" w:hAnsi="Arial" w:cs="Arial"/>
          <w:bCs/>
          <w:kern w:val="0"/>
          <w:sz w:val="24"/>
          <w:szCs w:val="24"/>
          <w:vertAlign w:val="superscript"/>
        </w:rPr>
        <w:t>−ΔΔCt</w:t>
      </w:r>
      <w:r w:rsidRPr="005F72E1">
        <w:rPr>
          <w:rFonts w:ascii="Arial" w:eastAsia="等线" w:hAnsi="Arial" w:cs="Arial" w:hint="eastAsia"/>
          <w:bCs/>
          <w:kern w:val="0"/>
          <w:sz w:val="24"/>
          <w:szCs w:val="24"/>
        </w:rPr>
        <w:t xml:space="preserve"> </w:t>
      </w:r>
      <w:r w:rsidRPr="00866CAB">
        <w:rPr>
          <w:rFonts w:ascii="Arial" w:eastAsia="等线" w:hAnsi="Arial" w:cs="Arial"/>
          <w:bCs/>
          <w:kern w:val="0"/>
          <w:sz w:val="24"/>
          <w:szCs w:val="24"/>
        </w:rPr>
        <w:t>method.</w:t>
      </w:r>
    </w:p>
    <w:p w14:paraId="7BB08D26" w14:textId="77777777" w:rsidR="00EA0E3A" w:rsidRPr="00323B3B" w:rsidRDefault="00EA0E3A" w:rsidP="00EA0E3A">
      <w:pPr>
        <w:autoSpaceDE w:val="0"/>
        <w:autoSpaceDN w:val="0"/>
        <w:adjustRightInd w:val="0"/>
        <w:spacing w:line="360" w:lineRule="auto"/>
        <w:outlineLvl w:val="0"/>
        <w:rPr>
          <w:rFonts w:ascii="Arial" w:hAnsi="Arial" w:cs="Arial"/>
          <w:b/>
          <w:bCs/>
          <w:iCs/>
          <w:sz w:val="24"/>
          <w:szCs w:val="24"/>
        </w:rPr>
      </w:pPr>
      <w:r w:rsidRPr="00323B3B">
        <w:rPr>
          <w:rFonts w:ascii="Arial" w:hAnsi="Arial" w:cs="Arial"/>
          <w:b/>
          <w:bCs/>
          <w:iCs/>
          <w:sz w:val="24"/>
          <w:szCs w:val="24"/>
        </w:rPr>
        <w:t>Cell proliferation assay</w:t>
      </w:r>
    </w:p>
    <w:p w14:paraId="3F23D940" w14:textId="77777777" w:rsidR="00EA0E3A" w:rsidRPr="00323B3B" w:rsidRDefault="00EA0E3A" w:rsidP="00EA0E3A">
      <w:pPr>
        <w:autoSpaceDE w:val="0"/>
        <w:autoSpaceDN w:val="0"/>
        <w:adjustRightInd w:val="0"/>
        <w:spacing w:line="360" w:lineRule="auto"/>
        <w:ind w:firstLineChars="100" w:firstLine="240"/>
        <w:rPr>
          <w:rFonts w:ascii="Arial" w:eastAsia="等线" w:hAnsi="Arial" w:cs="Arial"/>
          <w:bCs/>
          <w:kern w:val="0"/>
          <w:sz w:val="24"/>
          <w:szCs w:val="24"/>
        </w:rPr>
      </w:pPr>
      <w:r w:rsidRPr="00323B3B">
        <w:rPr>
          <w:rFonts w:ascii="Arial" w:eastAsia="等线" w:hAnsi="Arial" w:cs="Arial"/>
          <w:bCs/>
          <w:kern w:val="0"/>
          <w:sz w:val="24"/>
          <w:szCs w:val="24"/>
        </w:rPr>
        <w:lastRenderedPageBreak/>
        <w:t xml:space="preserve">Cellular proliferation was measured 24 h after transfection with a Cell Counting Kit-8 (CCK-8, </w:t>
      </w:r>
      <w:proofErr w:type="spellStart"/>
      <w:r w:rsidRPr="00323B3B">
        <w:rPr>
          <w:rFonts w:ascii="Arial" w:eastAsia="等线" w:hAnsi="Arial" w:cs="Arial"/>
          <w:bCs/>
          <w:kern w:val="0"/>
          <w:sz w:val="24"/>
          <w:szCs w:val="24"/>
        </w:rPr>
        <w:t>Dojindo</w:t>
      </w:r>
      <w:proofErr w:type="spellEnd"/>
      <w:r w:rsidRPr="00323B3B">
        <w:rPr>
          <w:rFonts w:ascii="Arial" w:eastAsia="等线" w:hAnsi="Arial" w:cs="Arial"/>
          <w:bCs/>
          <w:kern w:val="0"/>
          <w:sz w:val="24"/>
          <w:szCs w:val="24"/>
        </w:rPr>
        <w:t xml:space="preserve"> Laboratories, Kumamoto, Japan) based on the manufacturer’s instructions. CAL27 and HN4 cells were seeded into 96-well plates at a density of 1 × 10</w:t>
      </w:r>
      <w:r w:rsidRPr="00323B3B">
        <w:rPr>
          <w:rFonts w:ascii="Arial" w:eastAsia="等线" w:hAnsi="Arial" w:cs="Arial"/>
          <w:bCs/>
          <w:kern w:val="0"/>
          <w:sz w:val="24"/>
          <w:szCs w:val="24"/>
          <w:vertAlign w:val="superscript"/>
        </w:rPr>
        <w:t>3</w:t>
      </w:r>
      <w:r w:rsidRPr="00323B3B">
        <w:rPr>
          <w:rFonts w:ascii="Arial" w:eastAsia="等线" w:hAnsi="Arial" w:cs="Arial"/>
          <w:bCs/>
          <w:kern w:val="0"/>
          <w:sz w:val="24"/>
          <w:szCs w:val="24"/>
        </w:rPr>
        <w:t xml:space="preserve"> cells per well in 100 </w:t>
      </w:r>
      <w:proofErr w:type="spellStart"/>
      <w:r w:rsidRPr="00323B3B">
        <w:rPr>
          <w:rFonts w:ascii="Arial" w:eastAsia="等线" w:hAnsi="Arial" w:cs="Arial"/>
          <w:bCs/>
          <w:kern w:val="0"/>
          <w:sz w:val="24"/>
          <w:szCs w:val="24"/>
        </w:rPr>
        <w:t>μl</w:t>
      </w:r>
      <w:proofErr w:type="spellEnd"/>
      <w:r w:rsidRPr="00323B3B">
        <w:rPr>
          <w:rFonts w:ascii="Arial" w:eastAsia="等线" w:hAnsi="Arial" w:cs="Arial"/>
          <w:bCs/>
          <w:kern w:val="0"/>
          <w:sz w:val="24"/>
          <w:szCs w:val="24"/>
        </w:rPr>
        <w:t xml:space="preserve"> of medium and incubated at 37 °C. At the indicated time points, 10 </w:t>
      </w:r>
      <w:proofErr w:type="spellStart"/>
      <w:r w:rsidRPr="00323B3B">
        <w:rPr>
          <w:rFonts w:ascii="Arial" w:eastAsia="等线" w:hAnsi="Arial" w:cs="Arial"/>
          <w:bCs/>
          <w:kern w:val="0"/>
          <w:sz w:val="24"/>
          <w:szCs w:val="24"/>
        </w:rPr>
        <w:t>μl</w:t>
      </w:r>
      <w:proofErr w:type="spellEnd"/>
      <w:r w:rsidRPr="00323B3B">
        <w:rPr>
          <w:rFonts w:ascii="Arial" w:eastAsia="等线" w:hAnsi="Arial" w:cs="Arial"/>
          <w:bCs/>
          <w:kern w:val="0"/>
          <w:sz w:val="24"/>
          <w:szCs w:val="24"/>
        </w:rPr>
        <w:t xml:space="preserve"> of CCK-8 solution was added to each well. After incubation at 37 °C for 1 h, the absorbance at 450 nm was measured with a plate reader. The growth curves were examined to determine the growth rates.</w:t>
      </w:r>
    </w:p>
    <w:p w14:paraId="5D523C32" w14:textId="77777777" w:rsidR="00EA0E3A" w:rsidRPr="00323B3B" w:rsidRDefault="00EA0E3A" w:rsidP="00EA0E3A">
      <w:pPr>
        <w:autoSpaceDE w:val="0"/>
        <w:autoSpaceDN w:val="0"/>
        <w:adjustRightInd w:val="0"/>
        <w:spacing w:line="360" w:lineRule="auto"/>
        <w:outlineLvl w:val="0"/>
        <w:rPr>
          <w:rFonts w:ascii="Arial" w:hAnsi="Arial" w:cs="Arial"/>
          <w:b/>
          <w:bCs/>
          <w:iCs/>
          <w:sz w:val="24"/>
          <w:szCs w:val="24"/>
        </w:rPr>
      </w:pPr>
      <w:r w:rsidRPr="00323B3B">
        <w:rPr>
          <w:rFonts w:ascii="Arial" w:hAnsi="Arial" w:cs="Arial"/>
          <w:b/>
          <w:bCs/>
          <w:iCs/>
          <w:sz w:val="24"/>
          <w:szCs w:val="24"/>
        </w:rPr>
        <w:t>Colony formation assays</w:t>
      </w:r>
    </w:p>
    <w:p w14:paraId="36DC4319" w14:textId="77777777" w:rsidR="00EA0E3A" w:rsidRPr="00142378" w:rsidRDefault="00EA0E3A" w:rsidP="00EA0E3A">
      <w:pPr>
        <w:autoSpaceDE w:val="0"/>
        <w:autoSpaceDN w:val="0"/>
        <w:adjustRightInd w:val="0"/>
        <w:spacing w:line="360" w:lineRule="auto"/>
        <w:ind w:firstLineChars="100" w:firstLine="240"/>
        <w:rPr>
          <w:rFonts w:ascii="Arial" w:eastAsia="等线" w:hAnsi="Arial" w:cs="Arial"/>
          <w:bCs/>
          <w:kern w:val="0"/>
          <w:sz w:val="24"/>
          <w:szCs w:val="24"/>
        </w:rPr>
      </w:pPr>
      <w:r w:rsidRPr="00323B3B">
        <w:rPr>
          <w:rFonts w:ascii="Arial" w:eastAsia="等线" w:hAnsi="Arial" w:cs="Arial"/>
          <w:bCs/>
          <w:kern w:val="0"/>
          <w:sz w:val="24"/>
          <w:szCs w:val="24"/>
        </w:rPr>
        <w:t>For the colony formation assay, a total of 800 cells plated in a clean six-well plate and maintained in medium containing 10% FBS. The medium was replaced every 3 days. After 14 days, the cells were fixed with methanol and stained with 0.1% crystal violet (Sigma-Aldrich, St. Louis, MO, USA). Visible colonies were manually counted. Triplicate wells were established for each treatment group.</w:t>
      </w:r>
    </w:p>
    <w:p w14:paraId="3B06F65E" w14:textId="77777777" w:rsidR="00EA0E3A" w:rsidRPr="00866CAB" w:rsidRDefault="00EA0E3A" w:rsidP="00EA0E3A">
      <w:pPr>
        <w:widowControl/>
        <w:spacing w:line="360" w:lineRule="auto"/>
        <w:outlineLvl w:val="0"/>
        <w:rPr>
          <w:rFonts w:ascii="Arial" w:hAnsi="Arial" w:cs="Arial"/>
          <w:b/>
          <w:bCs/>
          <w:iCs/>
          <w:sz w:val="24"/>
          <w:szCs w:val="24"/>
        </w:rPr>
      </w:pPr>
      <w:r w:rsidRPr="00866CAB">
        <w:rPr>
          <w:rFonts w:ascii="Arial" w:hAnsi="Arial" w:cs="Arial"/>
          <w:b/>
          <w:bCs/>
          <w:iCs/>
          <w:sz w:val="24"/>
          <w:szCs w:val="24"/>
        </w:rPr>
        <w:t>Immunohistochemistry</w:t>
      </w:r>
    </w:p>
    <w:p w14:paraId="1526374A" w14:textId="77777777" w:rsidR="00EA0E3A" w:rsidRPr="00866CAB" w:rsidRDefault="00EA0E3A" w:rsidP="00EA0E3A">
      <w:pPr>
        <w:autoSpaceDE w:val="0"/>
        <w:autoSpaceDN w:val="0"/>
        <w:adjustRightInd w:val="0"/>
        <w:spacing w:line="360" w:lineRule="auto"/>
        <w:ind w:firstLineChars="100" w:firstLine="240"/>
        <w:rPr>
          <w:rFonts w:ascii="Arial" w:eastAsia="等线" w:hAnsi="Arial" w:cs="Arial"/>
          <w:bCs/>
          <w:kern w:val="0"/>
          <w:sz w:val="24"/>
          <w:szCs w:val="24"/>
        </w:rPr>
      </w:pPr>
      <w:r w:rsidRPr="00866CAB">
        <w:rPr>
          <w:rFonts w:ascii="Arial" w:eastAsia="等线" w:hAnsi="Arial" w:cs="Arial"/>
          <w:bCs/>
          <w:kern w:val="0"/>
          <w:sz w:val="24"/>
          <w:szCs w:val="24"/>
        </w:rPr>
        <w:t xml:space="preserve">Immunohistochemistry was performed on paraformaldehyde-fixed paraffin sections. Ki-67, P65, p-P65, </w:t>
      </w:r>
      <w:proofErr w:type="spellStart"/>
      <w:r w:rsidRPr="00866CAB">
        <w:rPr>
          <w:rFonts w:ascii="Arial" w:eastAsia="等线" w:hAnsi="Arial" w:cs="Arial"/>
          <w:bCs/>
          <w:kern w:val="0"/>
          <w:sz w:val="24"/>
          <w:szCs w:val="24"/>
        </w:rPr>
        <w:t>ikb</w:t>
      </w:r>
      <w:proofErr w:type="spellEnd"/>
      <w:r w:rsidRPr="00866CAB">
        <w:rPr>
          <w:rFonts w:ascii="Arial" w:eastAsia="等线" w:hAnsi="Arial" w:cs="Arial"/>
          <w:bCs/>
          <w:kern w:val="0"/>
          <w:sz w:val="24"/>
          <w:szCs w:val="24"/>
        </w:rPr>
        <w:t>α (Cell Signaling Technology), and p-</w:t>
      </w:r>
      <w:proofErr w:type="spellStart"/>
      <w:r w:rsidRPr="00866CAB">
        <w:rPr>
          <w:rFonts w:ascii="Arial" w:eastAsia="等线" w:hAnsi="Arial" w:cs="Arial"/>
          <w:bCs/>
          <w:kern w:val="0"/>
          <w:sz w:val="24"/>
          <w:szCs w:val="24"/>
        </w:rPr>
        <w:t>ikb</w:t>
      </w:r>
      <w:proofErr w:type="spellEnd"/>
      <w:r w:rsidRPr="00866CAB">
        <w:rPr>
          <w:rFonts w:ascii="Arial" w:eastAsia="等线" w:hAnsi="Arial" w:cs="Arial"/>
          <w:bCs/>
          <w:kern w:val="0"/>
          <w:sz w:val="24"/>
          <w:szCs w:val="24"/>
        </w:rPr>
        <w:t>α antibodies (Santa Cruz) were used to perform immunohistochemistry via the streptavidin-peroxidase conjugate method. The percentage of positive tumor cells was graded according to the following criteria: 0, &lt; 10% positive; 1, 10-30% positive; 2, 31-50% positive; and 3, &gt; 50% positive. HNSCC tissues with different staining levels were divided into the low-expression group (staining scores of 0 or 1) and the high-expression group (staining scores of 2 or 3).</w:t>
      </w:r>
    </w:p>
    <w:p w14:paraId="7623BBC4" w14:textId="77777777" w:rsidR="00EA0E3A" w:rsidRPr="00866CAB" w:rsidRDefault="00EA0E3A" w:rsidP="00EA0E3A">
      <w:pPr>
        <w:widowControl/>
        <w:spacing w:line="360" w:lineRule="auto"/>
        <w:outlineLvl w:val="0"/>
        <w:rPr>
          <w:rFonts w:ascii="Arial" w:hAnsi="Arial" w:cs="Arial"/>
          <w:b/>
          <w:bCs/>
          <w:iCs/>
          <w:sz w:val="24"/>
          <w:szCs w:val="24"/>
        </w:rPr>
      </w:pPr>
      <w:r w:rsidRPr="00866CAB">
        <w:rPr>
          <w:rFonts w:ascii="Arial" w:hAnsi="Arial" w:cs="Arial"/>
          <w:b/>
          <w:bCs/>
          <w:iCs/>
          <w:sz w:val="24"/>
          <w:szCs w:val="24"/>
        </w:rPr>
        <w:t>Fluorescen</w:t>
      </w:r>
      <w:r>
        <w:rPr>
          <w:rFonts w:ascii="Arial" w:hAnsi="Arial" w:cs="Arial"/>
          <w:b/>
          <w:bCs/>
          <w:iCs/>
          <w:sz w:val="24"/>
          <w:szCs w:val="24"/>
        </w:rPr>
        <w:t>ce in situ hybridization (FISH)</w:t>
      </w:r>
    </w:p>
    <w:p w14:paraId="53E73CA6" w14:textId="77777777" w:rsidR="00EA0E3A" w:rsidRPr="00866CAB" w:rsidRDefault="00EA0E3A" w:rsidP="00EA0E3A">
      <w:pPr>
        <w:autoSpaceDE w:val="0"/>
        <w:autoSpaceDN w:val="0"/>
        <w:adjustRightInd w:val="0"/>
        <w:spacing w:line="360" w:lineRule="auto"/>
        <w:ind w:firstLineChars="100" w:firstLine="240"/>
        <w:rPr>
          <w:rFonts w:ascii="Arial" w:eastAsia="等线" w:hAnsi="Arial" w:cs="Arial"/>
          <w:bCs/>
          <w:kern w:val="0"/>
          <w:sz w:val="24"/>
          <w:szCs w:val="24"/>
        </w:rPr>
      </w:pPr>
      <w:r w:rsidRPr="00866CAB">
        <w:rPr>
          <w:rFonts w:ascii="Arial" w:eastAsia="等线" w:hAnsi="Arial" w:cs="Arial"/>
          <w:bCs/>
          <w:kern w:val="0"/>
          <w:sz w:val="24"/>
          <w:szCs w:val="24"/>
        </w:rPr>
        <w:t>FISH was conducted according to the manufacturer’s instructions (</w:t>
      </w:r>
      <w:proofErr w:type="spellStart"/>
      <w:r w:rsidRPr="00866CAB">
        <w:rPr>
          <w:rFonts w:ascii="Arial" w:eastAsia="等线" w:hAnsi="Arial" w:cs="Arial"/>
          <w:bCs/>
          <w:kern w:val="0"/>
          <w:sz w:val="24"/>
          <w:szCs w:val="24"/>
        </w:rPr>
        <w:t>RiboBio</w:t>
      </w:r>
      <w:proofErr w:type="spellEnd"/>
      <w:r w:rsidRPr="00866CAB">
        <w:rPr>
          <w:rFonts w:ascii="Arial" w:eastAsia="等线" w:hAnsi="Arial" w:cs="Arial"/>
          <w:bCs/>
          <w:kern w:val="0"/>
          <w:sz w:val="24"/>
          <w:szCs w:val="24"/>
        </w:rPr>
        <w:t xml:space="preserve"> Company, Guangzhou, China). In brief, a </w:t>
      </w:r>
      <w:proofErr w:type="spellStart"/>
      <w:r w:rsidRPr="00866CAB">
        <w:rPr>
          <w:rFonts w:ascii="Arial" w:eastAsia="等线" w:hAnsi="Arial" w:cs="Arial"/>
          <w:bCs/>
          <w:kern w:val="0"/>
          <w:sz w:val="24"/>
          <w:szCs w:val="24"/>
        </w:rPr>
        <w:t>lncRNA</w:t>
      </w:r>
      <w:proofErr w:type="spellEnd"/>
      <w:r w:rsidRPr="00866CAB">
        <w:rPr>
          <w:rFonts w:ascii="Arial" w:eastAsia="等线" w:hAnsi="Arial" w:cs="Arial"/>
          <w:bCs/>
          <w:kern w:val="0"/>
          <w:sz w:val="24"/>
          <w:szCs w:val="24"/>
        </w:rPr>
        <w:t xml:space="preserve"> VENTXP1-specific probe was designed, synthesized.</w:t>
      </w:r>
      <w:r w:rsidRPr="00323B3B">
        <w:t xml:space="preserve"> </w:t>
      </w:r>
      <w:r w:rsidRPr="00323B3B">
        <w:rPr>
          <w:rFonts w:ascii="Arial" w:eastAsia="等线" w:hAnsi="Arial" w:cs="Arial"/>
          <w:bCs/>
          <w:kern w:val="0"/>
          <w:sz w:val="24"/>
          <w:szCs w:val="24"/>
        </w:rPr>
        <w:t>5 x 10</w:t>
      </w:r>
      <w:r w:rsidRPr="00323B3B">
        <w:rPr>
          <w:rFonts w:ascii="Arial" w:eastAsia="等线" w:hAnsi="Arial" w:cs="Arial"/>
          <w:bCs/>
          <w:kern w:val="0"/>
          <w:sz w:val="24"/>
          <w:szCs w:val="24"/>
          <w:vertAlign w:val="superscript"/>
        </w:rPr>
        <w:t>4</w:t>
      </w:r>
      <w:r w:rsidRPr="00323B3B">
        <w:rPr>
          <w:rFonts w:ascii="Arial" w:eastAsia="等线" w:hAnsi="Arial" w:cs="Arial"/>
          <w:bCs/>
          <w:kern w:val="0"/>
          <w:sz w:val="24"/>
          <w:szCs w:val="24"/>
        </w:rPr>
        <w:t xml:space="preserve"> cells were seeded on a glass-bottomed confocal plate and cultured overnight. After fixation with 4% PFA and </w:t>
      </w:r>
      <w:proofErr w:type="spellStart"/>
      <w:r w:rsidRPr="00323B3B">
        <w:rPr>
          <w:rFonts w:ascii="Arial" w:eastAsia="等线" w:hAnsi="Arial" w:cs="Arial"/>
          <w:bCs/>
          <w:kern w:val="0"/>
          <w:sz w:val="24"/>
          <w:szCs w:val="24"/>
        </w:rPr>
        <w:t>permeabilization</w:t>
      </w:r>
      <w:proofErr w:type="spellEnd"/>
      <w:r w:rsidRPr="00323B3B">
        <w:rPr>
          <w:rFonts w:ascii="Arial" w:eastAsia="等线" w:hAnsi="Arial" w:cs="Arial"/>
          <w:bCs/>
          <w:kern w:val="0"/>
          <w:sz w:val="24"/>
          <w:szCs w:val="24"/>
        </w:rPr>
        <w:t xml:space="preserve"> with 0.5% Triton, hybridization was carried out overnight wit</w:t>
      </w:r>
      <w:r>
        <w:rPr>
          <w:rFonts w:ascii="Arial" w:eastAsia="等线" w:hAnsi="Arial" w:cs="Arial"/>
          <w:bCs/>
          <w:kern w:val="0"/>
          <w:sz w:val="24"/>
          <w:szCs w:val="24"/>
        </w:rPr>
        <w:t>h the probes conjugated with Cy</w:t>
      </w:r>
      <w:r w:rsidRPr="00323B3B">
        <w:rPr>
          <w:rFonts w:ascii="Arial" w:eastAsia="等线" w:hAnsi="Arial" w:cs="Arial"/>
          <w:bCs/>
          <w:kern w:val="0"/>
          <w:sz w:val="24"/>
          <w:szCs w:val="24"/>
        </w:rPr>
        <w:t xml:space="preserve">3 at 37°C in 2×SSC, 10% </w:t>
      </w:r>
      <w:proofErr w:type="spellStart"/>
      <w:r w:rsidRPr="00323B3B">
        <w:rPr>
          <w:rFonts w:ascii="Arial" w:eastAsia="等线" w:hAnsi="Arial" w:cs="Arial"/>
          <w:bCs/>
          <w:kern w:val="0"/>
          <w:sz w:val="24"/>
          <w:szCs w:val="24"/>
        </w:rPr>
        <w:t>formamide</w:t>
      </w:r>
      <w:proofErr w:type="spellEnd"/>
      <w:r w:rsidRPr="00323B3B">
        <w:rPr>
          <w:rFonts w:ascii="Arial" w:eastAsia="等线" w:hAnsi="Arial" w:cs="Arial"/>
          <w:bCs/>
          <w:kern w:val="0"/>
          <w:sz w:val="24"/>
          <w:szCs w:val="24"/>
        </w:rPr>
        <w:t xml:space="preserve"> and 10% dextran. Finally, the nuclei were stained by DAPI and the images were captured under a confocal microscope.</w:t>
      </w:r>
    </w:p>
    <w:p w14:paraId="690E7C40" w14:textId="77777777" w:rsidR="00EA0E3A" w:rsidRPr="00866CAB" w:rsidRDefault="00EA0E3A" w:rsidP="00EA0E3A">
      <w:pPr>
        <w:widowControl/>
        <w:spacing w:line="360" w:lineRule="auto"/>
        <w:outlineLvl w:val="0"/>
        <w:rPr>
          <w:rFonts w:ascii="Arial" w:hAnsi="Arial" w:cs="Arial"/>
          <w:b/>
          <w:bCs/>
          <w:iCs/>
          <w:sz w:val="24"/>
          <w:szCs w:val="24"/>
        </w:rPr>
      </w:pPr>
      <w:r w:rsidRPr="00866CAB">
        <w:rPr>
          <w:rFonts w:ascii="Arial" w:hAnsi="Arial" w:cs="Arial"/>
          <w:b/>
          <w:bCs/>
          <w:iCs/>
          <w:sz w:val="24"/>
          <w:szCs w:val="24"/>
        </w:rPr>
        <w:t>RNA immunoprecipitation (RIP) assay</w:t>
      </w:r>
    </w:p>
    <w:p w14:paraId="6BC19C2F" w14:textId="77777777" w:rsidR="00EA0E3A" w:rsidRPr="00866CAB" w:rsidRDefault="00EA0E3A" w:rsidP="00EA0E3A">
      <w:pPr>
        <w:autoSpaceDE w:val="0"/>
        <w:autoSpaceDN w:val="0"/>
        <w:adjustRightInd w:val="0"/>
        <w:spacing w:line="360" w:lineRule="auto"/>
        <w:ind w:firstLineChars="100" w:firstLine="240"/>
        <w:rPr>
          <w:rFonts w:ascii="Arial" w:eastAsia="等线" w:hAnsi="Arial" w:cs="Arial"/>
          <w:bCs/>
          <w:kern w:val="0"/>
          <w:sz w:val="24"/>
          <w:szCs w:val="24"/>
        </w:rPr>
      </w:pPr>
      <w:r w:rsidRPr="00866CAB">
        <w:rPr>
          <w:rFonts w:ascii="Arial" w:eastAsia="等线" w:hAnsi="Arial" w:cs="Arial"/>
          <w:bCs/>
          <w:kern w:val="0"/>
          <w:sz w:val="24"/>
          <w:szCs w:val="24"/>
        </w:rPr>
        <w:t>RNA immunoprecipitation (RIP) assays were performed according to the instructions of the Millipore Magna RIP Kit (Millipore, Darmstadt, Germany). Cells were lysed in complete RIP lysis buffer. Then, 100μl of cell lysate was incubated with RIP buffer containing magnetic beads conjugated to a human anti-</w:t>
      </w:r>
      <w:r>
        <w:rPr>
          <w:rFonts w:ascii="Arial" w:eastAsia="等线" w:hAnsi="Arial" w:cs="Arial"/>
          <w:bCs/>
          <w:kern w:val="0"/>
          <w:sz w:val="24"/>
          <w:szCs w:val="24"/>
        </w:rPr>
        <w:t>Ago2</w:t>
      </w:r>
      <w:r w:rsidRPr="00866CAB">
        <w:rPr>
          <w:rFonts w:ascii="Arial" w:eastAsia="等线" w:hAnsi="Arial" w:cs="Arial"/>
          <w:bCs/>
          <w:kern w:val="0"/>
          <w:sz w:val="24"/>
          <w:szCs w:val="24"/>
        </w:rPr>
        <w:t xml:space="preserve"> antibody (1:50 dilution, Millipore) and a negative control antibody (normal mouse IgG). The samples were then incubated with proteinase K to isolate </w:t>
      </w:r>
      <w:proofErr w:type="spellStart"/>
      <w:r w:rsidRPr="00866CAB">
        <w:rPr>
          <w:rFonts w:ascii="Arial" w:eastAsia="等线" w:hAnsi="Arial" w:cs="Arial"/>
          <w:bCs/>
          <w:kern w:val="0"/>
          <w:sz w:val="24"/>
          <w:szCs w:val="24"/>
        </w:rPr>
        <w:t>immunoprecipitated</w:t>
      </w:r>
      <w:proofErr w:type="spellEnd"/>
      <w:r w:rsidRPr="00866CAB">
        <w:rPr>
          <w:rFonts w:ascii="Arial" w:eastAsia="等线" w:hAnsi="Arial" w:cs="Arial"/>
          <w:bCs/>
          <w:kern w:val="0"/>
          <w:sz w:val="24"/>
          <w:szCs w:val="24"/>
        </w:rPr>
        <w:t xml:space="preserve"> RNA. The isolated RNA was analyzed via </w:t>
      </w:r>
      <w:proofErr w:type="spellStart"/>
      <w:r w:rsidRPr="00866CAB">
        <w:rPr>
          <w:rFonts w:ascii="Arial" w:eastAsia="等线" w:hAnsi="Arial" w:cs="Arial"/>
          <w:bCs/>
          <w:kern w:val="0"/>
          <w:sz w:val="24"/>
          <w:szCs w:val="24"/>
        </w:rPr>
        <w:t>qRT</w:t>
      </w:r>
      <w:proofErr w:type="spellEnd"/>
      <w:r w:rsidRPr="00866CAB">
        <w:rPr>
          <w:rFonts w:ascii="Arial" w:eastAsia="等线" w:hAnsi="Arial" w:cs="Arial"/>
          <w:bCs/>
          <w:kern w:val="0"/>
          <w:sz w:val="24"/>
          <w:szCs w:val="24"/>
        </w:rPr>
        <w:t>-PCR, which was performed using SYBR Green (</w:t>
      </w:r>
      <w:proofErr w:type="spellStart"/>
      <w:r w:rsidRPr="00866CAB">
        <w:rPr>
          <w:rFonts w:ascii="Arial" w:eastAsia="等线" w:hAnsi="Arial" w:cs="Arial"/>
          <w:bCs/>
          <w:kern w:val="0"/>
          <w:sz w:val="24"/>
          <w:szCs w:val="24"/>
        </w:rPr>
        <w:t>TaKaRa</w:t>
      </w:r>
      <w:proofErr w:type="spellEnd"/>
      <w:r w:rsidRPr="00866CAB">
        <w:rPr>
          <w:rFonts w:ascii="Arial" w:eastAsia="等线" w:hAnsi="Arial" w:cs="Arial"/>
          <w:bCs/>
          <w:kern w:val="0"/>
          <w:sz w:val="24"/>
          <w:szCs w:val="24"/>
        </w:rPr>
        <w:t>, Dalian, China) with primers.</w:t>
      </w:r>
    </w:p>
    <w:p w14:paraId="7D91975B" w14:textId="77777777" w:rsidR="00EA0E3A" w:rsidRPr="00866CAB" w:rsidRDefault="00EA0E3A" w:rsidP="00EA0E3A">
      <w:pPr>
        <w:widowControl/>
        <w:spacing w:line="360" w:lineRule="auto"/>
        <w:outlineLvl w:val="0"/>
        <w:rPr>
          <w:rFonts w:ascii="Arial" w:hAnsi="Arial" w:cs="Arial"/>
          <w:b/>
          <w:bCs/>
          <w:iCs/>
          <w:sz w:val="24"/>
          <w:szCs w:val="24"/>
        </w:rPr>
      </w:pPr>
      <w:r w:rsidRPr="00866CAB">
        <w:rPr>
          <w:rFonts w:ascii="Arial" w:hAnsi="Arial" w:cs="Arial"/>
          <w:b/>
          <w:bCs/>
          <w:iCs/>
          <w:sz w:val="24"/>
          <w:szCs w:val="24"/>
        </w:rPr>
        <w:t>Luciferase reporter assay</w:t>
      </w:r>
    </w:p>
    <w:p w14:paraId="556867A2" w14:textId="77777777" w:rsidR="00EA0E3A" w:rsidRPr="00866CAB" w:rsidRDefault="00EA0E3A" w:rsidP="00EA0E3A">
      <w:pPr>
        <w:autoSpaceDE w:val="0"/>
        <w:autoSpaceDN w:val="0"/>
        <w:adjustRightInd w:val="0"/>
        <w:spacing w:line="360" w:lineRule="auto"/>
        <w:ind w:firstLineChars="100" w:firstLine="240"/>
        <w:rPr>
          <w:rFonts w:ascii="Arial" w:eastAsia="等线" w:hAnsi="Arial" w:cs="Arial"/>
          <w:bCs/>
          <w:kern w:val="0"/>
          <w:sz w:val="24"/>
          <w:szCs w:val="24"/>
        </w:rPr>
      </w:pPr>
      <w:proofErr w:type="spellStart"/>
      <w:r w:rsidRPr="00866CAB">
        <w:rPr>
          <w:rFonts w:ascii="Arial" w:eastAsia="等线" w:hAnsi="Arial" w:cs="Arial"/>
          <w:bCs/>
          <w:kern w:val="0"/>
          <w:sz w:val="24"/>
          <w:szCs w:val="24"/>
        </w:rPr>
        <w:t>PmirGLO</w:t>
      </w:r>
      <w:proofErr w:type="spellEnd"/>
      <w:r w:rsidRPr="00866CAB">
        <w:rPr>
          <w:rFonts w:ascii="Arial" w:eastAsia="等线" w:hAnsi="Arial" w:cs="Arial"/>
          <w:bCs/>
          <w:kern w:val="0"/>
          <w:sz w:val="24"/>
          <w:szCs w:val="24"/>
        </w:rPr>
        <w:t xml:space="preserve">, pmirGLO-VENTXP1-wt or pmirGLO-VENTXP1-mut was </w:t>
      </w:r>
      <w:proofErr w:type="spellStart"/>
      <w:r w:rsidRPr="00866CAB">
        <w:rPr>
          <w:rFonts w:ascii="Arial" w:eastAsia="等线" w:hAnsi="Arial" w:cs="Arial"/>
          <w:bCs/>
          <w:kern w:val="0"/>
          <w:sz w:val="24"/>
          <w:szCs w:val="24"/>
        </w:rPr>
        <w:t>cotransfected</w:t>
      </w:r>
      <w:proofErr w:type="spellEnd"/>
      <w:r w:rsidRPr="00866CAB">
        <w:rPr>
          <w:rFonts w:ascii="Arial" w:eastAsia="等线" w:hAnsi="Arial" w:cs="Arial"/>
          <w:bCs/>
          <w:kern w:val="0"/>
          <w:sz w:val="24"/>
          <w:szCs w:val="24"/>
        </w:rPr>
        <w:t xml:space="preserve"> with the miRNA-205-5p mimics or NC-mimic into VENTXP1-overexpressing CAL27 cells in a 6-well dish by using </w:t>
      </w:r>
      <w:proofErr w:type="spellStart"/>
      <w:r w:rsidRPr="00866CAB">
        <w:rPr>
          <w:rFonts w:ascii="Arial" w:eastAsia="等线" w:hAnsi="Arial" w:cs="Arial"/>
          <w:bCs/>
          <w:kern w:val="0"/>
          <w:sz w:val="24"/>
          <w:szCs w:val="24"/>
        </w:rPr>
        <w:t>Lipofectamine</w:t>
      </w:r>
      <w:proofErr w:type="spellEnd"/>
      <w:r w:rsidRPr="00866CAB">
        <w:rPr>
          <w:rFonts w:ascii="Arial" w:eastAsia="等线" w:hAnsi="Arial" w:cs="Arial"/>
          <w:bCs/>
          <w:kern w:val="0"/>
          <w:sz w:val="24"/>
          <w:szCs w:val="24"/>
        </w:rPr>
        <w:t xml:space="preserve"> 2000 reagent (Invitrogen, USA) according to the manufacturer's instructions. Similarly, </w:t>
      </w:r>
      <w:proofErr w:type="spellStart"/>
      <w:r w:rsidRPr="00866CAB">
        <w:rPr>
          <w:rFonts w:ascii="Arial" w:eastAsia="等线" w:hAnsi="Arial" w:cs="Arial"/>
          <w:bCs/>
          <w:kern w:val="0"/>
          <w:sz w:val="24"/>
          <w:szCs w:val="24"/>
        </w:rPr>
        <w:t>pmirGLO</w:t>
      </w:r>
      <w:proofErr w:type="spellEnd"/>
      <w:r w:rsidRPr="00866CAB">
        <w:rPr>
          <w:rFonts w:ascii="Arial" w:eastAsia="等线" w:hAnsi="Arial" w:cs="Arial"/>
          <w:bCs/>
          <w:kern w:val="0"/>
          <w:sz w:val="24"/>
          <w:szCs w:val="24"/>
        </w:rPr>
        <w:t xml:space="preserve">, pmirGLO-ANKRD2-wt or pmirGLO-ANKRD2-mut was transfected into VENTXP1-overexpressing CAL27 cells by using </w:t>
      </w:r>
      <w:proofErr w:type="spellStart"/>
      <w:r w:rsidRPr="00866CAB">
        <w:rPr>
          <w:rFonts w:ascii="Arial" w:eastAsia="等线" w:hAnsi="Arial" w:cs="Arial"/>
          <w:bCs/>
          <w:kern w:val="0"/>
          <w:sz w:val="24"/>
          <w:szCs w:val="24"/>
        </w:rPr>
        <w:t>Lipofectamine</w:t>
      </w:r>
      <w:proofErr w:type="spellEnd"/>
      <w:r w:rsidRPr="00866CAB">
        <w:rPr>
          <w:rFonts w:ascii="Arial" w:eastAsia="等线" w:hAnsi="Arial" w:cs="Arial"/>
          <w:bCs/>
          <w:kern w:val="0"/>
          <w:sz w:val="24"/>
          <w:szCs w:val="24"/>
        </w:rPr>
        <w:t xml:space="preserve"> 2000 reagent (Invitrogen, USA) according to the manufacturer's instructions. The relative luciferase activity was normalized to </w:t>
      </w:r>
      <w:proofErr w:type="spellStart"/>
      <w:r w:rsidRPr="00866CAB">
        <w:rPr>
          <w:rFonts w:ascii="Arial" w:eastAsia="等线" w:hAnsi="Arial" w:cs="Arial"/>
          <w:bCs/>
          <w:kern w:val="0"/>
          <w:sz w:val="24"/>
          <w:szCs w:val="24"/>
        </w:rPr>
        <w:t>Renilla</w:t>
      </w:r>
      <w:proofErr w:type="spellEnd"/>
      <w:r w:rsidRPr="00866CAB">
        <w:rPr>
          <w:rFonts w:ascii="Arial" w:eastAsia="等线" w:hAnsi="Arial" w:cs="Arial"/>
          <w:bCs/>
          <w:kern w:val="0"/>
          <w:sz w:val="24"/>
          <w:szCs w:val="24"/>
        </w:rPr>
        <w:t xml:space="preserve"> luciferase activity 48 h after transfection. The cells were </w:t>
      </w:r>
      <w:proofErr w:type="spellStart"/>
      <w:r w:rsidRPr="00866CAB">
        <w:rPr>
          <w:rFonts w:ascii="Arial" w:eastAsia="等线" w:hAnsi="Arial" w:cs="Arial"/>
          <w:bCs/>
          <w:kern w:val="0"/>
          <w:sz w:val="24"/>
          <w:szCs w:val="24"/>
        </w:rPr>
        <w:t>cotransfected</w:t>
      </w:r>
      <w:proofErr w:type="spellEnd"/>
      <w:r w:rsidRPr="00866CAB">
        <w:rPr>
          <w:rFonts w:ascii="Arial" w:eastAsia="等线" w:hAnsi="Arial" w:cs="Arial"/>
          <w:bCs/>
          <w:kern w:val="0"/>
          <w:sz w:val="24"/>
          <w:szCs w:val="24"/>
        </w:rPr>
        <w:t xml:space="preserve"> with the </w:t>
      </w:r>
      <w:proofErr w:type="spellStart"/>
      <w:r w:rsidRPr="00866CAB">
        <w:rPr>
          <w:rFonts w:ascii="Arial" w:eastAsia="等线" w:hAnsi="Arial" w:cs="Arial"/>
          <w:bCs/>
          <w:kern w:val="0"/>
          <w:sz w:val="24"/>
          <w:szCs w:val="24"/>
        </w:rPr>
        <w:t>pRenilla</w:t>
      </w:r>
      <w:proofErr w:type="spellEnd"/>
      <w:r w:rsidRPr="00866CAB">
        <w:rPr>
          <w:rFonts w:ascii="Arial" w:eastAsia="等线" w:hAnsi="Arial" w:cs="Arial"/>
          <w:bCs/>
          <w:kern w:val="0"/>
          <w:sz w:val="24"/>
          <w:szCs w:val="24"/>
        </w:rPr>
        <w:t xml:space="preserve"> </w:t>
      </w:r>
      <w:proofErr w:type="spellStart"/>
      <w:r w:rsidRPr="00866CAB">
        <w:rPr>
          <w:rFonts w:ascii="Arial" w:eastAsia="等线" w:hAnsi="Arial" w:cs="Arial"/>
          <w:bCs/>
          <w:kern w:val="0"/>
          <w:sz w:val="24"/>
          <w:szCs w:val="24"/>
        </w:rPr>
        <w:t>Renilla</w:t>
      </w:r>
      <w:proofErr w:type="spellEnd"/>
      <w:r w:rsidRPr="00866CAB">
        <w:rPr>
          <w:rFonts w:ascii="Arial" w:eastAsia="等线" w:hAnsi="Arial" w:cs="Arial"/>
          <w:bCs/>
          <w:kern w:val="0"/>
          <w:sz w:val="24"/>
          <w:szCs w:val="24"/>
        </w:rPr>
        <w:t xml:space="preserve"> luciferase reporter to normalize for transfection efficiency. Six hours after transfection, the transfection medium was replaced with fresh medium, and the cells were cultured for another 24 h. The cells were pretreated with the external stimulant for 12 h and harvested in passive lysis buffer. Finally, luciferase activity was measured using a Dual Luciferase System (</w:t>
      </w:r>
      <w:proofErr w:type="spellStart"/>
      <w:r w:rsidRPr="00866CAB">
        <w:rPr>
          <w:rFonts w:ascii="Arial" w:eastAsia="等线" w:hAnsi="Arial" w:cs="Arial"/>
          <w:bCs/>
          <w:kern w:val="0"/>
          <w:sz w:val="24"/>
          <w:szCs w:val="24"/>
        </w:rPr>
        <w:t>Promega</w:t>
      </w:r>
      <w:proofErr w:type="spellEnd"/>
      <w:r w:rsidRPr="00866CAB">
        <w:rPr>
          <w:rFonts w:ascii="Arial" w:eastAsia="等线" w:hAnsi="Arial" w:cs="Arial"/>
          <w:bCs/>
          <w:kern w:val="0"/>
          <w:sz w:val="24"/>
          <w:szCs w:val="24"/>
        </w:rPr>
        <w:t>, USA).</w:t>
      </w:r>
    </w:p>
    <w:p w14:paraId="215C8925" w14:textId="77777777" w:rsidR="00EA0E3A" w:rsidRPr="00866CAB" w:rsidRDefault="00EA0E3A" w:rsidP="00EA0E3A">
      <w:pPr>
        <w:widowControl/>
        <w:spacing w:line="360" w:lineRule="auto"/>
        <w:outlineLvl w:val="0"/>
        <w:rPr>
          <w:rFonts w:ascii="Arial" w:hAnsi="Arial" w:cs="Arial"/>
          <w:b/>
          <w:bCs/>
          <w:iCs/>
          <w:sz w:val="24"/>
          <w:szCs w:val="24"/>
        </w:rPr>
      </w:pPr>
      <w:r w:rsidRPr="00866CAB">
        <w:rPr>
          <w:rFonts w:ascii="Arial" w:hAnsi="Arial" w:cs="Arial"/>
          <w:b/>
          <w:bCs/>
          <w:iCs/>
          <w:sz w:val="24"/>
          <w:szCs w:val="24"/>
        </w:rPr>
        <w:t>Pull-down assay with biotinylated miRNA</w:t>
      </w:r>
    </w:p>
    <w:p w14:paraId="76061B5E" w14:textId="77777777" w:rsidR="00EA0E3A" w:rsidRPr="00866CAB" w:rsidRDefault="00EA0E3A" w:rsidP="00EA0E3A">
      <w:pPr>
        <w:autoSpaceDE w:val="0"/>
        <w:autoSpaceDN w:val="0"/>
        <w:adjustRightInd w:val="0"/>
        <w:spacing w:line="360" w:lineRule="auto"/>
        <w:ind w:firstLineChars="100" w:firstLine="240"/>
        <w:rPr>
          <w:rFonts w:ascii="Arial" w:eastAsia="等线" w:hAnsi="Arial" w:cs="Arial"/>
          <w:bCs/>
          <w:kern w:val="0"/>
          <w:sz w:val="24"/>
          <w:szCs w:val="24"/>
        </w:rPr>
      </w:pPr>
      <w:r w:rsidRPr="00866CAB">
        <w:rPr>
          <w:rFonts w:ascii="Arial" w:eastAsia="等线" w:hAnsi="Arial" w:cs="Arial"/>
          <w:bCs/>
          <w:kern w:val="0"/>
          <w:sz w:val="24"/>
          <w:szCs w:val="24"/>
        </w:rPr>
        <w:t>The biotinylated 3′ end of miR-205-5p mimic</w:t>
      </w:r>
      <w:r>
        <w:rPr>
          <w:rFonts w:ascii="Arial" w:eastAsia="等线" w:hAnsi="Arial" w:cs="Arial" w:hint="eastAsia"/>
          <w:bCs/>
          <w:kern w:val="0"/>
          <w:sz w:val="24"/>
          <w:szCs w:val="24"/>
        </w:rPr>
        <w:t>s</w:t>
      </w:r>
      <w:r w:rsidRPr="00866CAB">
        <w:rPr>
          <w:rFonts w:ascii="Arial" w:eastAsia="等线" w:hAnsi="Arial" w:cs="Arial"/>
          <w:bCs/>
          <w:kern w:val="0"/>
          <w:sz w:val="24"/>
          <w:szCs w:val="24"/>
        </w:rPr>
        <w:t xml:space="preserve"> or control RNA (</w:t>
      </w:r>
      <w:proofErr w:type="spellStart"/>
      <w:r w:rsidRPr="00866CAB">
        <w:rPr>
          <w:rFonts w:ascii="Arial" w:eastAsia="等线" w:hAnsi="Arial" w:cs="Arial"/>
          <w:bCs/>
          <w:kern w:val="0"/>
          <w:sz w:val="24"/>
          <w:szCs w:val="24"/>
        </w:rPr>
        <w:t>GenePharma</w:t>
      </w:r>
      <w:proofErr w:type="spellEnd"/>
      <w:r w:rsidRPr="00866CAB">
        <w:rPr>
          <w:rFonts w:ascii="Arial" w:eastAsia="等线" w:hAnsi="Arial" w:cs="Arial"/>
          <w:bCs/>
          <w:kern w:val="0"/>
          <w:sz w:val="24"/>
          <w:szCs w:val="24"/>
        </w:rPr>
        <w:t xml:space="preserve"> Co.) was transfected into HN4 and CAL27 cells at a final concentration of 100 </w:t>
      </w:r>
      <w:proofErr w:type="spellStart"/>
      <w:r w:rsidRPr="00866CAB">
        <w:rPr>
          <w:rFonts w:ascii="Arial" w:eastAsia="等线" w:hAnsi="Arial" w:cs="Arial"/>
          <w:bCs/>
          <w:kern w:val="0"/>
          <w:sz w:val="24"/>
          <w:szCs w:val="24"/>
        </w:rPr>
        <w:t>nM</w:t>
      </w:r>
      <w:proofErr w:type="spellEnd"/>
      <w:r w:rsidRPr="00866CAB">
        <w:rPr>
          <w:rFonts w:ascii="Arial" w:eastAsia="等线" w:hAnsi="Arial" w:cs="Arial"/>
          <w:bCs/>
          <w:kern w:val="0"/>
          <w:sz w:val="24"/>
          <w:szCs w:val="24"/>
        </w:rPr>
        <w:t xml:space="preserve">. Two days after transfection, whole cell lysates were harvested. The biotinylated RNA complex was pulled down by incubating the cell lysates with streptavidin-coated magnetic beads at 4 °C on the rotator overnight. </w:t>
      </w:r>
      <w:proofErr w:type="spellStart"/>
      <w:r w:rsidRPr="00866CAB">
        <w:rPr>
          <w:rFonts w:ascii="Arial" w:eastAsia="等线" w:hAnsi="Arial" w:cs="Arial"/>
          <w:bCs/>
          <w:kern w:val="0"/>
          <w:sz w:val="24"/>
          <w:szCs w:val="24"/>
        </w:rPr>
        <w:t>TRIzol</w:t>
      </w:r>
      <w:proofErr w:type="spellEnd"/>
      <w:r w:rsidRPr="00866CAB">
        <w:rPr>
          <w:rFonts w:ascii="Arial" w:eastAsia="等线" w:hAnsi="Arial" w:cs="Arial"/>
          <w:bCs/>
          <w:kern w:val="0"/>
          <w:sz w:val="24"/>
          <w:szCs w:val="24"/>
        </w:rPr>
        <w:t xml:space="preserve"> reagent (Invitrogen) was used to extract RNA from the input and pull-down beads. The abundance of VENTXP1 in the bound fraction was evaluated by </w:t>
      </w:r>
      <w:proofErr w:type="spellStart"/>
      <w:r w:rsidRPr="00866CAB">
        <w:rPr>
          <w:rFonts w:ascii="Arial" w:eastAsia="等线" w:hAnsi="Arial" w:cs="Arial"/>
          <w:bCs/>
          <w:kern w:val="0"/>
          <w:sz w:val="24"/>
          <w:szCs w:val="24"/>
        </w:rPr>
        <w:t>qRT</w:t>
      </w:r>
      <w:proofErr w:type="spellEnd"/>
      <w:r w:rsidRPr="00866CAB">
        <w:rPr>
          <w:rFonts w:ascii="Arial" w:eastAsia="等线" w:hAnsi="Arial" w:cs="Arial"/>
          <w:bCs/>
          <w:kern w:val="0"/>
          <w:sz w:val="24"/>
          <w:szCs w:val="24"/>
        </w:rPr>
        <w:t>-PCR analysis.</w:t>
      </w:r>
    </w:p>
    <w:p w14:paraId="6354D790" w14:textId="77777777" w:rsidR="00EA0E3A" w:rsidRPr="00866CAB" w:rsidRDefault="00EA0E3A" w:rsidP="00EA0E3A">
      <w:pPr>
        <w:widowControl/>
        <w:spacing w:line="360" w:lineRule="auto"/>
        <w:outlineLvl w:val="0"/>
        <w:rPr>
          <w:rFonts w:ascii="Arial" w:hAnsi="Arial" w:cs="Arial"/>
          <w:b/>
          <w:bCs/>
          <w:iCs/>
          <w:sz w:val="24"/>
          <w:szCs w:val="24"/>
        </w:rPr>
      </w:pPr>
      <w:r w:rsidRPr="00866CAB">
        <w:rPr>
          <w:rFonts w:ascii="Arial" w:hAnsi="Arial" w:cs="Arial"/>
          <w:b/>
          <w:bCs/>
          <w:iCs/>
          <w:sz w:val="24"/>
          <w:szCs w:val="24"/>
        </w:rPr>
        <w:t>Western blotting</w:t>
      </w:r>
    </w:p>
    <w:p w14:paraId="48DE973D" w14:textId="77777777" w:rsidR="00EA0E3A" w:rsidRPr="00866CAB" w:rsidRDefault="00EA0E3A" w:rsidP="00EA0E3A">
      <w:pPr>
        <w:autoSpaceDE w:val="0"/>
        <w:autoSpaceDN w:val="0"/>
        <w:adjustRightInd w:val="0"/>
        <w:spacing w:line="360" w:lineRule="auto"/>
        <w:ind w:firstLineChars="100" w:firstLine="240"/>
        <w:rPr>
          <w:rFonts w:ascii="Arial" w:eastAsia="等线" w:hAnsi="Arial" w:cs="Arial"/>
          <w:bCs/>
          <w:kern w:val="0"/>
          <w:sz w:val="24"/>
          <w:szCs w:val="24"/>
        </w:rPr>
      </w:pPr>
      <w:r w:rsidRPr="00866CAB">
        <w:rPr>
          <w:rFonts w:ascii="Arial" w:eastAsia="等线" w:hAnsi="Arial" w:cs="Arial"/>
          <w:bCs/>
          <w:kern w:val="0"/>
          <w:sz w:val="24"/>
          <w:szCs w:val="24"/>
        </w:rPr>
        <w:t xml:space="preserve">Western blotting was performed as described in our previous study. GAPDH was used as a control. Histone H3 was used as a control for nuclear protein. Antibodies (1:1000) specific for ANKRD2, P65, p-P65, </w:t>
      </w:r>
      <w:proofErr w:type="spellStart"/>
      <w:r w:rsidRPr="00866CAB">
        <w:rPr>
          <w:rFonts w:ascii="Arial" w:eastAsia="等线" w:hAnsi="Arial" w:cs="Arial"/>
          <w:bCs/>
          <w:kern w:val="0"/>
          <w:sz w:val="24"/>
          <w:szCs w:val="24"/>
        </w:rPr>
        <w:t>Ikb</w:t>
      </w:r>
      <w:proofErr w:type="spellEnd"/>
      <w:r w:rsidRPr="00866CAB">
        <w:rPr>
          <w:rFonts w:ascii="Arial" w:eastAsia="等线" w:hAnsi="Arial" w:cs="Arial"/>
          <w:bCs/>
          <w:kern w:val="0"/>
          <w:sz w:val="24"/>
          <w:szCs w:val="24"/>
        </w:rPr>
        <w:t>α, p-</w:t>
      </w:r>
      <w:proofErr w:type="spellStart"/>
      <w:r w:rsidRPr="00866CAB">
        <w:rPr>
          <w:rFonts w:ascii="Arial" w:eastAsia="等线" w:hAnsi="Arial" w:cs="Arial"/>
          <w:bCs/>
          <w:kern w:val="0"/>
          <w:sz w:val="24"/>
          <w:szCs w:val="24"/>
        </w:rPr>
        <w:t>ikb</w:t>
      </w:r>
      <w:proofErr w:type="spellEnd"/>
      <w:r w:rsidRPr="00866CAB">
        <w:rPr>
          <w:rFonts w:ascii="Arial" w:eastAsia="等线" w:hAnsi="Arial" w:cs="Arial"/>
          <w:bCs/>
          <w:kern w:val="0"/>
          <w:sz w:val="24"/>
          <w:szCs w:val="24"/>
        </w:rPr>
        <w:t>α and histone H3 were purchased from Cell Signaling Technology (Boston, MA, USA).</w:t>
      </w:r>
    </w:p>
    <w:p w14:paraId="1E5CD687" w14:textId="77777777" w:rsidR="00EA0E3A" w:rsidRPr="00866CAB" w:rsidRDefault="00EA0E3A" w:rsidP="00EA0E3A">
      <w:pPr>
        <w:widowControl/>
        <w:spacing w:line="360" w:lineRule="auto"/>
        <w:outlineLvl w:val="0"/>
        <w:rPr>
          <w:rFonts w:ascii="Arial" w:hAnsi="Arial" w:cs="Arial"/>
          <w:b/>
          <w:bCs/>
          <w:iCs/>
          <w:sz w:val="24"/>
          <w:szCs w:val="24"/>
        </w:rPr>
      </w:pPr>
      <w:r w:rsidRPr="00866CAB">
        <w:rPr>
          <w:rFonts w:ascii="Arial" w:hAnsi="Arial" w:cs="Arial"/>
          <w:b/>
          <w:bCs/>
          <w:iCs/>
          <w:sz w:val="24"/>
          <w:szCs w:val="24"/>
        </w:rPr>
        <w:t>Xenograft mouse model</w:t>
      </w:r>
    </w:p>
    <w:p w14:paraId="6A9ECAF0" w14:textId="77777777" w:rsidR="00EA0E3A" w:rsidRPr="00866CAB" w:rsidRDefault="00EA0E3A" w:rsidP="00EA0E3A">
      <w:pPr>
        <w:autoSpaceDE w:val="0"/>
        <w:autoSpaceDN w:val="0"/>
        <w:adjustRightInd w:val="0"/>
        <w:spacing w:line="360" w:lineRule="auto"/>
        <w:ind w:firstLineChars="100" w:firstLine="240"/>
        <w:rPr>
          <w:rFonts w:ascii="Arial" w:eastAsia="等线" w:hAnsi="Arial" w:cs="Arial"/>
          <w:bCs/>
          <w:kern w:val="0"/>
          <w:sz w:val="24"/>
          <w:szCs w:val="24"/>
        </w:rPr>
      </w:pPr>
      <w:r w:rsidRPr="00866CAB">
        <w:rPr>
          <w:rFonts w:ascii="Arial" w:eastAsia="等线" w:hAnsi="Arial" w:cs="Arial"/>
          <w:bCs/>
          <w:kern w:val="0"/>
          <w:sz w:val="24"/>
          <w:szCs w:val="24"/>
        </w:rPr>
        <w:t>BALB/c nude mice (aged 4~6 weeks) purchased from the Shanghai Laboratory Animal Center (Shanghai, China) were bred in specific pathogen-free (SPF) facilities. CAL27 cells (1 × 10</w:t>
      </w:r>
      <w:r w:rsidRPr="00142378">
        <w:rPr>
          <w:rFonts w:ascii="Arial" w:eastAsia="等线" w:hAnsi="Arial" w:cs="Arial"/>
          <w:bCs/>
          <w:kern w:val="0"/>
          <w:sz w:val="24"/>
          <w:szCs w:val="24"/>
          <w:vertAlign w:val="superscript"/>
        </w:rPr>
        <w:t>6</w:t>
      </w:r>
      <w:r w:rsidRPr="00866CAB">
        <w:rPr>
          <w:rFonts w:ascii="Arial" w:eastAsia="等线" w:hAnsi="Arial" w:cs="Arial"/>
          <w:bCs/>
          <w:kern w:val="0"/>
          <w:sz w:val="24"/>
          <w:szCs w:val="24"/>
        </w:rPr>
        <w:t xml:space="preserve">) stably expressing LV-NC or overexpressing LV-VENTXP1 (OE) were subcutaneously injected into either side of the flank area of 6-week-old female </w:t>
      </w:r>
      <w:proofErr w:type="spellStart"/>
      <w:r w:rsidRPr="00866CAB">
        <w:rPr>
          <w:rFonts w:ascii="Arial" w:eastAsia="等线" w:hAnsi="Arial" w:cs="Arial"/>
          <w:bCs/>
          <w:kern w:val="0"/>
          <w:sz w:val="24"/>
          <w:szCs w:val="24"/>
        </w:rPr>
        <w:t>athymic</w:t>
      </w:r>
      <w:proofErr w:type="spellEnd"/>
      <w:r w:rsidRPr="00866CAB">
        <w:rPr>
          <w:rFonts w:ascii="Arial" w:eastAsia="等线" w:hAnsi="Arial" w:cs="Arial"/>
          <w:bCs/>
          <w:kern w:val="0"/>
          <w:sz w:val="24"/>
          <w:szCs w:val="24"/>
        </w:rPr>
        <w:t xml:space="preserve"> nude mice (n=8 mice per group). Tumor volumes were measured (0.5 × length × width</w:t>
      </w:r>
      <w:r w:rsidRPr="00142378">
        <w:rPr>
          <w:rFonts w:ascii="Arial" w:eastAsia="等线" w:hAnsi="Arial" w:cs="Arial"/>
          <w:bCs/>
          <w:kern w:val="0"/>
          <w:sz w:val="24"/>
          <w:szCs w:val="24"/>
          <w:vertAlign w:val="superscript"/>
        </w:rPr>
        <w:t>2</w:t>
      </w:r>
      <w:r w:rsidRPr="00866CAB">
        <w:rPr>
          <w:rFonts w:ascii="Arial" w:eastAsia="等线" w:hAnsi="Arial" w:cs="Arial"/>
          <w:bCs/>
          <w:kern w:val="0"/>
          <w:sz w:val="24"/>
          <w:szCs w:val="24"/>
        </w:rPr>
        <w:t xml:space="preserve">) in the mice every four days and tumors were finally weighed after the mice were sacrificed. After 5 weeks, the mice were sacrificed, and the excised tumors were fixed and embedded in paraffin for </w:t>
      </w:r>
      <w:proofErr w:type="spellStart"/>
      <w:r w:rsidRPr="00866CAB">
        <w:rPr>
          <w:rFonts w:ascii="Arial" w:eastAsia="等线" w:hAnsi="Arial" w:cs="Arial"/>
          <w:bCs/>
          <w:kern w:val="0"/>
          <w:sz w:val="24"/>
          <w:szCs w:val="24"/>
        </w:rPr>
        <w:t>immunohistochemical</w:t>
      </w:r>
      <w:proofErr w:type="spellEnd"/>
      <w:r w:rsidRPr="00866CAB">
        <w:rPr>
          <w:rFonts w:ascii="Arial" w:eastAsia="等线" w:hAnsi="Arial" w:cs="Arial"/>
          <w:bCs/>
          <w:kern w:val="0"/>
          <w:sz w:val="24"/>
          <w:szCs w:val="24"/>
        </w:rPr>
        <w:t xml:space="preserve"> staining analysis of Ki67, P65, p-P65, </w:t>
      </w:r>
      <w:proofErr w:type="spellStart"/>
      <w:r w:rsidRPr="00866CAB">
        <w:rPr>
          <w:rFonts w:ascii="Arial" w:eastAsia="等线" w:hAnsi="Arial" w:cs="Arial"/>
          <w:bCs/>
          <w:kern w:val="0"/>
          <w:sz w:val="24"/>
          <w:szCs w:val="24"/>
        </w:rPr>
        <w:t>ikb</w:t>
      </w:r>
      <w:proofErr w:type="spellEnd"/>
      <w:r w:rsidRPr="00866CAB">
        <w:rPr>
          <w:rFonts w:ascii="Arial" w:eastAsia="等线" w:hAnsi="Arial" w:cs="Arial"/>
          <w:bCs/>
          <w:kern w:val="0"/>
          <w:sz w:val="24"/>
          <w:szCs w:val="24"/>
        </w:rPr>
        <w:t>α, and p-</w:t>
      </w:r>
      <w:proofErr w:type="spellStart"/>
      <w:r w:rsidRPr="00866CAB">
        <w:rPr>
          <w:rFonts w:ascii="Arial" w:eastAsia="等线" w:hAnsi="Arial" w:cs="Arial"/>
          <w:bCs/>
          <w:kern w:val="0"/>
          <w:sz w:val="24"/>
          <w:szCs w:val="24"/>
        </w:rPr>
        <w:t>ikb</w:t>
      </w:r>
      <w:proofErr w:type="spellEnd"/>
      <w:r w:rsidRPr="00866CAB">
        <w:rPr>
          <w:rFonts w:ascii="Arial" w:eastAsia="等线" w:hAnsi="Arial" w:cs="Arial"/>
          <w:bCs/>
          <w:kern w:val="0"/>
          <w:sz w:val="24"/>
          <w:szCs w:val="24"/>
        </w:rPr>
        <w:t xml:space="preserve">α. All animal experiments were performed in the animal laboratory center of the Ninth People's Hospital, Shanghai </w:t>
      </w:r>
      <w:proofErr w:type="spellStart"/>
      <w:r w:rsidRPr="00866CAB">
        <w:rPr>
          <w:rFonts w:ascii="Arial" w:eastAsia="等线" w:hAnsi="Arial" w:cs="Arial"/>
          <w:bCs/>
          <w:kern w:val="0"/>
          <w:sz w:val="24"/>
          <w:szCs w:val="24"/>
        </w:rPr>
        <w:t>JiaoTong</w:t>
      </w:r>
      <w:proofErr w:type="spellEnd"/>
      <w:r w:rsidRPr="00866CAB">
        <w:rPr>
          <w:rFonts w:ascii="Arial" w:eastAsia="等线" w:hAnsi="Arial" w:cs="Arial"/>
          <w:bCs/>
          <w:kern w:val="0"/>
          <w:sz w:val="24"/>
          <w:szCs w:val="24"/>
        </w:rPr>
        <w:t xml:space="preserve"> University School of Medicine (Shanghai, China) and were conducted in accordance with the Guide for the Care and Use of Laboratory Animals published by the US National Institutes of Health (NIH publication number 85-23, revised 1996). The study protocol was approved by the Animal Care and Use Committee of the Ninth People's Hospital.</w:t>
      </w:r>
    </w:p>
    <w:p w14:paraId="68DC477B" w14:textId="77777777" w:rsidR="004E1A98" w:rsidRDefault="00CE705B"/>
    <w:sectPr w:rsidR="004E1A98" w:rsidSect="00CE705B">
      <w:pgSz w:w="11900" w:h="16840"/>
      <w:pgMar w:top="1440" w:right="1800" w:bottom="1440" w:left="1800" w:header="851" w:footer="992" w:gutter="0"/>
      <w:lnNumType w:countBy="1" w:restart="continuous"/>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等线">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bordersDoNotSurroundHeader/>
  <w:bordersDoNotSurroundFooter/>
  <w:proofState w:spelling="clean" w:grammar="clean"/>
  <w:defaultTabStop w:val="420"/>
  <w:drawingGridHorizontalSpacing w:val="105"/>
  <w:drawingGridVerticalSpacing w:val="423"/>
  <w:displayHorizontalDrawingGridEvery w:val="0"/>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E3A"/>
    <w:rsid w:val="00135C95"/>
    <w:rsid w:val="00251B27"/>
    <w:rsid w:val="0029168B"/>
    <w:rsid w:val="00584C81"/>
    <w:rsid w:val="005E6842"/>
    <w:rsid w:val="00757A49"/>
    <w:rsid w:val="007724D3"/>
    <w:rsid w:val="00CE705B"/>
    <w:rsid w:val="00D26C60"/>
    <w:rsid w:val="00EA0E3A"/>
    <w:rsid w:val="00EB2046"/>
    <w:rsid w:val="00F45B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D97DE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EA0E3A"/>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CE7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6</Words>
  <Characters>7282</Characters>
  <Application>Microsoft Macintosh Word</Application>
  <DocSecurity>0</DocSecurity>
  <Lines>158</Lines>
  <Paragraphs>6</Paragraphs>
  <ScaleCrop>false</ScaleCrop>
  <LinksUpToDate>false</LinksUpToDate>
  <CharactersWithSpaces>7282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2020-06-13T08:04:00Z</dcterms:created>
  <dcterms:modified xsi:type="dcterms:W3CDTF">2020-06-13T08:14:00Z</dcterms:modified>
</cp:coreProperties>
</file>