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11" w:rsidRPr="00ED59DF" w:rsidRDefault="00BB0511" w:rsidP="00DD0335">
      <w:pPr>
        <w:spacing w:after="0" w:line="480" w:lineRule="auto"/>
        <w:jc w:val="both"/>
        <w:rPr>
          <w:rFonts w:ascii="Arial" w:hAnsi="Arial" w:cs="Arial"/>
          <w:sz w:val="20"/>
          <w:szCs w:val="26"/>
        </w:rPr>
      </w:pPr>
      <w:r w:rsidRPr="00ED59DF">
        <w:rPr>
          <w:rFonts w:ascii="Arial" w:hAnsi="Arial" w:cs="Arial"/>
          <w:b/>
          <w:szCs w:val="20"/>
        </w:rPr>
        <w:t>Supplementary Procedures</w:t>
      </w:r>
    </w:p>
    <w:p w:rsidR="00BB0511" w:rsidRPr="00ED59DF" w:rsidRDefault="00BB0511" w:rsidP="00DD0335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</w:p>
    <w:p w:rsidR="00BB0511" w:rsidRPr="00ED59DF" w:rsidRDefault="00BB0511" w:rsidP="00DD0335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D59DF">
        <w:rPr>
          <w:rFonts w:ascii="Arial" w:hAnsi="Arial" w:cs="Arial"/>
          <w:b/>
          <w:sz w:val="20"/>
          <w:szCs w:val="20"/>
        </w:rPr>
        <w:t>Cdc42/Rac1 activation assay</w:t>
      </w:r>
    </w:p>
    <w:p w:rsidR="00BB0511" w:rsidRPr="00ED59DF" w:rsidRDefault="00BB0511" w:rsidP="00DD033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ED59DF">
        <w:rPr>
          <w:rFonts w:ascii="Arial" w:hAnsi="Arial" w:cs="Arial"/>
          <w:sz w:val="20"/>
          <w:szCs w:val="20"/>
        </w:rPr>
        <w:t xml:space="preserve">Cdc42/Rac1 activation assay was performed using the “Rac1 pull-down activation assay </w:t>
      </w:r>
      <w:proofErr w:type="spellStart"/>
      <w:r w:rsidRPr="00ED59DF">
        <w:rPr>
          <w:rFonts w:ascii="Arial" w:hAnsi="Arial" w:cs="Arial"/>
          <w:sz w:val="20"/>
          <w:szCs w:val="20"/>
        </w:rPr>
        <w:t>biochem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” kit (Cytoskeleton #BK035) according to manufacturer’s instructions. Briefly, cells were washed once with ice cold PBS and </w:t>
      </w:r>
      <w:proofErr w:type="spellStart"/>
      <w:r w:rsidRPr="00ED59DF">
        <w:rPr>
          <w:rFonts w:ascii="Arial" w:hAnsi="Arial" w:cs="Arial"/>
          <w:sz w:val="20"/>
          <w:szCs w:val="20"/>
        </w:rPr>
        <w:t>lysed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ED59DF">
        <w:rPr>
          <w:rFonts w:ascii="Arial" w:hAnsi="Arial" w:cs="Arial"/>
          <w:sz w:val="20"/>
          <w:szCs w:val="20"/>
        </w:rPr>
        <w:t>lysis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buffer containing 50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Tris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pH 7.5, 10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MgCl</w:t>
      </w:r>
      <w:r w:rsidRPr="00ED59DF">
        <w:rPr>
          <w:rFonts w:ascii="Arial" w:hAnsi="Arial" w:cs="Arial"/>
          <w:sz w:val="20"/>
          <w:szCs w:val="20"/>
          <w:vertAlign w:val="subscript"/>
        </w:rPr>
        <w:t>2</w:t>
      </w:r>
      <w:r w:rsidRPr="00ED59DF">
        <w:rPr>
          <w:rFonts w:ascii="Arial" w:hAnsi="Arial" w:cs="Arial"/>
          <w:sz w:val="20"/>
          <w:szCs w:val="20"/>
        </w:rPr>
        <w:t xml:space="preserve">, 0.5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NaCl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, 2% </w:t>
      </w:r>
      <w:proofErr w:type="spellStart"/>
      <w:r w:rsidRPr="00ED59DF">
        <w:rPr>
          <w:rFonts w:ascii="Arial" w:hAnsi="Arial" w:cs="Arial"/>
          <w:sz w:val="20"/>
          <w:szCs w:val="20"/>
        </w:rPr>
        <w:t>Igepal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) supplemented with 1:100 protease inhibitors. Cells were scraped and collected. An aliquot of </w:t>
      </w:r>
      <w:proofErr w:type="spellStart"/>
      <w:r w:rsidRPr="00ED59DF">
        <w:rPr>
          <w:rFonts w:ascii="Arial" w:hAnsi="Arial" w:cs="Arial"/>
          <w:sz w:val="20"/>
          <w:szCs w:val="20"/>
        </w:rPr>
        <w:t>lysate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was conserved for protein content quantification. A second aliquot was saved as “input” fraction for western blot quantification of total Rac1 and Cdc42. The remaining of samples was quickly frozen in liquid nitrogen and then stored at -80 °C for at least one day. Protein content was quantified with the </w:t>
      </w:r>
      <w:proofErr w:type="spellStart"/>
      <w:r w:rsidRPr="00ED59DF">
        <w:rPr>
          <w:rFonts w:ascii="Arial" w:hAnsi="Arial" w:cs="Arial"/>
          <w:sz w:val="20"/>
          <w:szCs w:val="20"/>
        </w:rPr>
        <w:t>bicinchoninic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acid assay (BCA; Thermo Scientific Waltham, Massachusetts, USA #23228) according to manufacturer’s instructions. Frozen </w:t>
      </w:r>
      <w:proofErr w:type="spellStart"/>
      <w:r w:rsidRPr="00ED59DF">
        <w:rPr>
          <w:rFonts w:ascii="Arial" w:hAnsi="Arial" w:cs="Arial"/>
          <w:sz w:val="20"/>
          <w:szCs w:val="20"/>
        </w:rPr>
        <w:t>lysates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were thawed in a 25 °C water bath. Positive and negative controls were prepared</w:t>
      </w:r>
      <w:r w:rsidRPr="00ED59DF">
        <w:rPr>
          <w:rFonts w:ascii="Arial" w:hAnsi="Arial" w:cs="Arial"/>
          <w:color w:val="FF0000"/>
          <w:sz w:val="20"/>
          <w:szCs w:val="20"/>
        </w:rPr>
        <w:t xml:space="preserve"> </w:t>
      </w:r>
      <w:r w:rsidRPr="00ED59DF">
        <w:rPr>
          <w:rFonts w:ascii="Arial" w:hAnsi="Arial" w:cs="Arial"/>
          <w:sz w:val="20"/>
          <w:szCs w:val="20"/>
        </w:rPr>
        <w:t xml:space="preserve">from non </w:t>
      </w:r>
      <w:proofErr w:type="spellStart"/>
      <w:r w:rsidRPr="00ED59DF">
        <w:rPr>
          <w:rFonts w:ascii="Arial" w:hAnsi="Arial" w:cs="Arial"/>
          <w:sz w:val="20"/>
          <w:szCs w:val="20"/>
        </w:rPr>
        <w:t>transfected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cells or non-infected </w:t>
      </w:r>
      <w:proofErr w:type="spellStart"/>
      <w:r w:rsidRPr="00ED59DF">
        <w:rPr>
          <w:rFonts w:ascii="Arial" w:hAnsi="Arial" w:cs="Arial"/>
          <w:sz w:val="20"/>
          <w:szCs w:val="20"/>
        </w:rPr>
        <w:t>hippocampal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lysates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, supplemented with 150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EDTA and incubated with </w:t>
      </w:r>
      <w:proofErr w:type="spellStart"/>
      <w:r w:rsidRPr="00ED59DF">
        <w:rPr>
          <w:rFonts w:ascii="Arial" w:hAnsi="Arial" w:cs="Arial"/>
          <w:sz w:val="20"/>
          <w:szCs w:val="20"/>
        </w:rPr>
        <w:t>GTPγS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(final concentration: 200 </w:t>
      </w:r>
      <w:proofErr w:type="spellStart"/>
      <w:r w:rsidRPr="00ED59DF">
        <w:rPr>
          <w:rFonts w:ascii="Arial" w:hAnsi="Arial" w:cs="Arial"/>
          <w:sz w:val="20"/>
          <w:szCs w:val="20"/>
        </w:rPr>
        <w:t>μM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) for the positive control or with GDP (final concentration: 1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) for the negative control at RT under rotation for 15 min. The reaction was stopped by transferring samples on ice and adding 1:100 stop buffer provided in the kit. An equal volume of each sample was incubated at RT for 1 h with </w:t>
      </w:r>
      <w:proofErr w:type="spellStart"/>
      <w:r w:rsidRPr="00ED59DF">
        <w:rPr>
          <w:rFonts w:ascii="Arial" w:hAnsi="Arial" w:cs="Arial"/>
          <w:sz w:val="20"/>
          <w:szCs w:val="20"/>
        </w:rPr>
        <w:t>agarose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beads conjugated with PAK-PBD domain, which are able to bind only GTP-bound Cdc42 and Rac1. Beads were isolated by centrifugation at 3 000 x g at 4 °C for 1 min and then the supernatant (containing the GDP-bound inactive form of the proteins) was removed and stored as the “unbound fraction”. Beads were </w:t>
      </w:r>
      <w:proofErr w:type="spellStart"/>
      <w:r w:rsidRPr="00ED59DF">
        <w:rPr>
          <w:rFonts w:ascii="Arial" w:hAnsi="Arial" w:cs="Arial"/>
          <w:sz w:val="20"/>
          <w:szCs w:val="20"/>
        </w:rPr>
        <w:t>resuspended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in wash buffer (25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Tris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pH 7.5, 30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MgCl</w:t>
      </w:r>
      <w:r w:rsidRPr="00ED59DF">
        <w:rPr>
          <w:rFonts w:ascii="Arial" w:hAnsi="Arial" w:cs="Arial"/>
          <w:sz w:val="20"/>
          <w:szCs w:val="20"/>
          <w:vertAlign w:val="subscript"/>
        </w:rPr>
        <w:t>2</w:t>
      </w:r>
      <w:r w:rsidRPr="00ED59DF">
        <w:rPr>
          <w:rFonts w:ascii="Arial" w:hAnsi="Arial" w:cs="Arial"/>
          <w:sz w:val="20"/>
          <w:szCs w:val="20"/>
        </w:rPr>
        <w:t xml:space="preserve">, 40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NaCl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) followed by a 3 min </w:t>
      </w:r>
      <w:r w:rsidRPr="00ED59DF">
        <w:rPr>
          <w:rFonts w:ascii="Arial" w:hAnsi="Arial" w:cs="Arial"/>
          <w:sz w:val="20"/>
          <w:szCs w:val="20"/>
        </w:rPr>
        <w:lastRenderedPageBreak/>
        <w:t xml:space="preserve">centrifuge at 3 000 x g at 4 °C. After supernatant removal, </w:t>
      </w:r>
      <w:proofErr w:type="spellStart"/>
      <w:r w:rsidRPr="00ED59DF">
        <w:rPr>
          <w:rFonts w:ascii="Arial" w:hAnsi="Arial" w:cs="Arial"/>
          <w:sz w:val="20"/>
          <w:szCs w:val="20"/>
        </w:rPr>
        <w:t>pelleted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beads were </w:t>
      </w:r>
      <w:proofErr w:type="spellStart"/>
      <w:r w:rsidRPr="00ED59DF">
        <w:rPr>
          <w:rFonts w:ascii="Arial" w:hAnsi="Arial" w:cs="Arial"/>
          <w:sz w:val="20"/>
          <w:szCs w:val="20"/>
        </w:rPr>
        <w:t>resuspended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ED59DF">
        <w:rPr>
          <w:rFonts w:ascii="Arial" w:hAnsi="Arial" w:cs="Arial"/>
          <w:sz w:val="20"/>
          <w:szCs w:val="20"/>
        </w:rPr>
        <w:t>Laemmli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buffer 1X, heated for 2 min at 90 °C in order to </w:t>
      </w:r>
      <w:proofErr w:type="spellStart"/>
      <w:r w:rsidRPr="00ED59DF">
        <w:rPr>
          <w:rFonts w:ascii="Arial" w:hAnsi="Arial" w:cs="Arial"/>
          <w:sz w:val="20"/>
          <w:szCs w:val="20"/>
        </w:rPr>
        <w:t>elute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the sample and then stored at -80 °C until use. Western blotting was performed as described below, by loading equal volumes of input, pulled-down and unbound fractions.</w:t>
      </w:r>
    </w:p>
    <w:p w:rsidR="00BB0511" w:rsidRPr="00ED59DF" w:rsidRDefault="00BB0511" w:rsidP="00DD0335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</w:p>
    <w:p w:rsidR="00BB0511" w:rsidRPr="00ED59DF" w:rsidRDefault="00BB0511" w:rsidP="00DD0335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D59DF">
        <w:rPr>
          <w:rFonts w:ascii="Arial" w:hAnsi="Arial" w:cs="Arial"/>
          <w:b/>
          <w:sz w:val="20"/>
          <w:szCs w:val="20"/>
        </w:rPr>
        <w:t xml:space="preserve">Cell </w:t>
      </w:r>
      <w:proofErr w:type="spellStart"/>
      <w:r w:rsidRPr="00ED59DF">
        <w:rPr>
          <w:rFonts w:ascii="Arial" w:hAnsi="Arial" w:cs="Arial"/>
          <w:b/>
          <w:sz w:val="20"/>
          <w:szCs w:val="20"/>
        </w:rPr>
        <w:t>lysis</w:t>
      </w:r>
      <w:proofErr w:type="spellEnd"/>
      <w:r w:rsidRPr="00ED59DF">
        <w:rPr>
          <w:rFonts w:ascii="Arial" w:hAnsi="Arial" w:cs="Arial"/>
          <w:b/>
          <w:sz w:val="20"/>
          <w:szCs w:val="20"/>
        </w:rPr>
        <w:t>, SDS-PAGE and Western blot analysis</w:t>
      </w:r>
    </w:p>
    <w:p w:rsidR="00BB0511" w:rsidRPr="00ED59DF" w:rsidRDefault="00BB0511" w:rsidP="00DD033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ED59DF">
        <w:rPr>
          <w:rFonts w:ascii="Arial" w:hAnsi="Arial" w:cs="Arial"/>
          <w:sz w:val="20"/>
          <w:szCs w:val="20"/>
        </w:rPr>
        <w:t xml:space="preserve">Neurons were quickly </w:t>
      </w:r>
      <w:proofErr w:type="spellStart"/>
      <w:r w:rsidRPr="00ED59DF">
        <w:rPr>
          <w:rFonts w:ascii="Arial" w:hAnsi="Arial" w:cs="Arial"/>
          <w:sz w:val="20"/>
          <w:szCs w:val="20"/>
        </w:rPr>
        <w:t>lysed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with 1X </w:t>
      </w:r>
      <w:proofErr w:type="spellStart"/>
      <w:r w:rsidRPr="00ED59DF">
        <w:rPr>
          <w:rFonts w:ascii="Arial" w:hAnsi="Arial" w:cs="Arial"/>
          <w:sz w:val="20"/>
          <w:szCs w:val="20"/>
        </w:rPr>
        <w:t>Laemmli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buffer (LB; 20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Tris-HCl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pH 6.8, 2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EDTA, 2% SDS, 10% glycerol, 2% β-</w:t>
      </w:r>
      <w:proofErr w:type="spellStart"/>
      <w:r w:rsidRPr="00ED59DF">
        <w:rPr>
          <w:rFonts w:ascii="Arial" w:hAnsi="Arial" w:cs="Arial"/>
          <w:sz w:val="20"/>
          <w:szCs w:val="20"/>
        </w:rPr>
        <w:t>mercaptoethanol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and 0.01% </w:t>
      </w:r>
      <w:proofErr w:type="spellStart"/>
      <w:r w:rsidRPr="00ED59DF">
        <w:rPr>
          <w:rFonts w:ascii="Arial" w:hAnsi="Arial" w:cs="Arial"/>
          <w:sz w:val="20"/>
          <w:szCs w:val="20"/>
        </w:rPr>
        <w:t>bromophenol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blue), by adding the proper volume directly on the cells. When possible, samples were readily loaded on SDS-PAGE, otherwise they were stored at -80 °C until use.</w:t>
      </w:r>
    </w:p>
    <w:p w:rsidR="00BB0511" w:rsidRPr="00ED59DF" w:rsidRDefault="00BB0511" w:rsidP="00DD033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ED59DF">
        <w:rPr>
          <w:rFonts w:ascii="Arial" w:hAnsi="Arial" w:cs="Arial"/>
          <w:sz w:val="20"/>
          <w:szCs w:val="20"/>
        </w:rPr>
        <w:t>Equal volumes of protein samples were subjected to SDS-PAGE (</w:t>
      </w:r>
      <w:proofErr w:type="spellStart"/>
      <w:r w:rsidRPr="00ED59DF">
        <w:rPr>
          <w:rFonts w:ascii="Arial" w:hAnsi="Arial" w:cs="Arial"/>
          <w:sz w:val="20"/>
          <w:szCs w:val="20"/>
        </w:rPr>
        <w:t>polyacrylamide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gel electrophoresis) using the Standard Vertical Gel Electrophoresis unit (</w:t>
      </w:r>
      <w:proofErr w:type="spellStart"/>
      <w:r w:rsidRPr="00ED59DF">
        <w:rPr>
          <w:rFonts w:ascii="Arial" w:hAnsi="Arial" w:cs="Arial"/>
          <w:sz w:val="20"/>
          <w:szCs w:val="20"/>
        </w:rPr>
        <w:t>Hoefer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, San Francisco, CA, USA) or precast </w:t>
      </w:r>
      <w:proofErr w:type="spellStart"/>
      <w:r w:rsidRPr="00ED59DF">
        <w:rPr>
          <w:rFonts w:ascii="Arial" w:hAnsi="Arial" w:cs="Arial"/>
          <w:sz w:val="20"/>
          <w:szCs w:val="20"/>
        </w:rPr>
        <w:t>NuPAGE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4-12% </w:t>
      </w:r>
      <w:proofErr w:type="spellStart"/>
      <w:r w:rsidRPr="00ED59DF">
        <w:rPr>
          <w:rFonts w:ascii="Arial" w:hAnsi="Arial" w:cs="Arial"/>
          <w:sz w:val="20"/>
          <w:szCs w:val="20"/>
        </w:rPr>
        <w:t>bis-tris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gels (</w:t>
      </w:r>
      <w:proofErr w:type="spellStart"/>
      <w:r w:rsidRPr="00ED59DF">
        <w:rPr>
          <w:rFonts w:ascii="Arial" w:hAnsi="Arial" w:cs="Arial"/>
          <w:sz w:val="20"/>
          <w:szCs w:val="20"/>
        </w:rPr>
        <w:t>Invitrogen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#NP0321). Samples were loaded after heating at 90 °C for 5 min. Markers were used as standards to extrapolate the molecular weight of the analysed protein samples (</w:t>
      </w:r>
      <w:proofErr w:type="spellStart"/>
      <w:r w:rsidRPr="00ED59DF">
        <w:rPr>
          <w:rFonts w:ascii="Arial" w:hAnsi="Arial" w:cs="Arial"/>
          <w:sz w:val="20"/>
          <w:szCs w:val="20"/>
        </w:rPr>
        <w:t>Biorad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SDS-page standard high range #1610303, SDS-page standard low range #1610304, precision plus protein kaleidoscope #1610375 Hercules, CA, USA). </w:t>
      </w:r>
      <w:proofErr w:type="spellStart"/>
      <w:r w:rsidRPr="00ED59DF">
        <w:rPr>
          <w:rFonts w:ascii="Arial" w:hAnsi="Arial" w:cs="Arial"/>
          <w:sz w:val="20"/>
          <w:szCs w:val="20"/>
        </w:rPr>
        <w:t>Electrophoretic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separation was performed in running buffer 1X (50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Tris-HCl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, 384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gycine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, 0.1% SDS) at a voltage of 80 V in the stacking gel and 150 V in the running gel. </w:t>
      </w:r>
      <w:proofErr w:type="spellStart"/>
      <w:r w:rsidRPr="00ED59DF">
        <w:rPr>
          <w:rFonts w:ascii="Arial" w:hAnsi="Arial" w:cs="Arial"/>
          <w:sz w:val="20"/>
          <w:szCs w:val="20"/>
        </w:rPr>
        <w:t>NuPAGE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gels separation was performed in MOPS (Life Technologies, Monza, Italy #NP0001) at a voltage of 80 V in the stacking gel and 110 V in the running gel. The separated proteins were transferred to a nitrocellulose membrane (0.45 </w:t>
      </w:r>
      <w:proofErr w:type="spellStart"/>
      <w:r w:rsidRPr="00ED59DF">
        <w:rPr>
          <w:rFonts w:ascii="Arial" w:hAnsi="Arial" w:cs="Arial"/>
          <w:sz w:val="20"/>
          <w:szCs w:val="20"/>
        </w:rPr>
        <w:t>μm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; GE Healthcare, Buckinghamshire, UK #10600002). Transfer was performed overnight in transfer buffer (25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Tris-HCl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, 192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lastRenderedPageBreak/>
        <w:t>glycine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, 20% methanol) at 250 </w:t>
      </w:r>
      <w:proofErr w:type="spellStart"/>
      <w:r w:rsidRPr="00ED59DF">
        <w:rPr>
          <w:rFonts w:ascii="Arial" w:hAnsi="Arial" w:cs="Arial"/>
          <w:sz w:val="20"/>
          <w:szCs w:val="20"/>
        </w:rPr>
        <w:t>mA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at 4°C. The nitrocellulose membrane was stained with </w:t>
      </w:r>
      <w:proofErr w:type="spellStart"/>
      <w:r w:rsidRPr="00ED59DF">
        <w:rPr>
          <w:rFonts w:ascii="Arial" w:hAnsi="Arial" w:cs="Arial"/>
          <w:sz w:val="20"/>
          <w:szCs w:val="20"/>
        </w:rPr>
        <w:t>Ponceau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Red (Sigma #P7170) to assess proper transfer. The membrane was cut horizontally in correspondence of the appropriate molecular weights and used for western blotting.</w:t>
      </w:r>
    </w:p>
    <w:p w:rsidR="00BB0511" w:rsidRPr="00ED59DF" w:rsidRDefault="00BB0511" w:rsidP="00DD033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ED59DF">
        <w:rPr>
          <w:rFonts w:ascii="Arial" w:hAnsi="Arial" w:cs="Arial"/>
          <w:sz w:val="20"/>
          <w:szCs w:val="20"/>
        </w:rPr>
        <w:t>Blocking of the membranes was performed in 5% milk in TBST (</w:t>
      </w:r>
      <w:proofErr w:type="spellStart"/>
      <w:r w:rsidRPr="00ED59DF">
        <w:rPr>
          <w:rFonts w:ascii="Arial" w:hAnsi="Arial" w:cs="Arial"/>
          <w:sz w:val="20"/>
          <w:szCs w:val="20"/>
        </w:rPr>
        <w:t>Tris</w:t>
      </w:r>
      <w:proofErr w:type="spellEnd"/>
      <w:r w:rsidRPr="00ED59DF">
        <w:rPr>
          <w:rFonts w:ascii="Arial" w:hAnsi="Arial" w:cs="Arial"/>
          <w:sz w:val="20"/>
          <w:szCs w:val="20"/>
        </w:rPr>
        <w:t>-Base saline-</w:t>
      </w:r>
      <w:proofErr w:type="spellStart"/>
      <w:r w:rsidRPr="00ED59DF">
        <w:rPr>
          <w:rFonts w:ascii="Arial" w:hAnsi="Arial" w:cs="Arial"/>
          <w:sz w:val="20"/>
          <w:szCs w:val="20"/>
        </w:rPr>
        <w:t>Tween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: 150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NaCl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, 20 </w:t>
      </w:r>
      <w:proofErr w:type="spellStart"/>
      <w:r w:rsidRPr="00ED59DF">
        <w:rPr>
          <w:rFonts w:ascii="Arial" w:hAnsi="Arial" w:cs="Arial"/>
          <w:sz w:val="20"/>
          <w:szCs w:val="20"/>
        </w:rPr>
        <w:t>mM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Tris-HCl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, pH 7.4, 0.05% </w:t>
      </w:r>
      <w:proofErr w:type="spellStart"/>
      <w:r w:rsidRPr="00ED59DF">
        <w:rPr>
          <w:rFonts w:ascii="Arial" w:hAnsi="Arial" w:cs="Arial"/>
          <w:sz w:val="20"/>
          <w:szCs w:val="20"/>
        </w:rPr>
        <w:t>Tween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20) for 1 h at RT. Primary antibodies were appropriately diluted in 5% milk in TBST and incubated for either 2 h at RT or overnight at 4 °C. Membranes were washed three times in TBST to eliminate primary antibody in excess. Secondary horseradish </w:t>
      </w:r>
      <w:proofErr w:type="spellStart"/>
      <w:r w:rsidRPr="00ED59DF">
        <w:rPr>
          <w:rFonts w:ascii="Arial" w:hAnsi="Arial" w:cs="Arial"/>
          <w:sz w:val="20"/>
          <w:szCs w:val="20"/>
        </w:rPr>
        <w:t>peroxidase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(HRP) conjugated antibodies were diluted 1:10 000 in 5% milk in TBST and incubated for 1 h at RT. Membranes were washed three times in TBST to remove secondary antibodies in excess. Detection was performed with the enhanced </w:t>
      </w:r>
      <w:proofErr w:type="spellStart"/>
      <w:r w:rsidRPr="00ED59DF">
        <w:rPr>
          <w:rFonts w:ascii="Arial" w:hAnsi="Arial" w:cs="Arial"/>
          <w:sz w:val="20"/>
          <w:szCs w:val="20"/>
        </w:rPr>
        <w:t>chemiluminescence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reaction (ECL Prime; GE </w:t>
      </w:r>
      <w:proofErr w:type="spellStart"/>
      <w:r w:rsidRPr="00ED59DF">
        <w:rPr>
          <w:rFonts w:ascii="Arial" w:hAnsi="Arial" w:cs="Arial"/>
          <w:sz w:val="20"/>
          <w:szCs w:val="20"/>
        </w:rPr>
        <w:t>Healtcare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#16929851). Signals were detected with </w:t>
      </w:r>
      <w:proofErr w:type="spellStart"/>
      <w:r w:rsidRPr="00ED59DF">
        <w:rPr>
          <w:rFonts w:ascii="Arial" w:hAnsi="Arial" w:cs="Arial"/>
          <w:sz w:val="20"/>
          <w:szCs w:val="20"/>
        </w:rPr>
        <w:t>Chemidoc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ED59DF">
        <w:rPr>
          <w:rFonts w:ascii="Arial" w:hAnsi="Arial" w:cs="Arial"/>
          <w:sz w:val="20"/>
          <w:szCs w:val="20"/>
        </w:rPr>
        <w:t>Biorad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9DF">
        <w:rPr>
          <w:rFonts w:ascii="Arial" w:hAnsi="Arial" w:cs="Arial"/>
          <w:sz w:val="20"/>
          <w:szCs w:val="20"/>
        </w:rPr>
        <w:t>Chemidoc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MP Imaging system). </w:t>
      </w:r>
    </w:p>
    <w:p w:rsidR="00DD0335" w:rsidRPr="00ED59DF" w:rsidRDefault="00BB0511" w:rsidP="00DD033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ED59DF">
        <w:rPr>
          <w:rFonts w:ascii="Arial" w:hAnsi="Arial" w:cs="Arial"/>
          <w:sz w:val="20"/>
          <w:szCs w:val="20"/>
        </w:rPr>
        <w:t>Densitometric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quantification was performed with </w:t>
      </w:r>
      <w:proofErr w:type="spellStart"/>
      <w:r w:rsidRPr="00ED59DF">
        <w:rPr>
          <w:rFonts w:ascii="Arial" w:hAnsi="Arial" w:cs="Arial"/>
          <w:sz w:val="20"/>
          <w:szCs w:val="20"/>
        </w:rPr>
        <w:t>ImageLab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software and data analysis was performed with Excel (Microsoft, Redmond, WA, USA). The amount of </w:t>
      </w:r>
      <w:proofErr w:type="spellStart"/>
      <w:r w:rsidRPr="00ED59DF">
        <w:rPr>
          <w:rFonts w:ascii="Arial" w:hAnsi="Arial" w:cs="Arial"/>
          <w:sz w:val="20"/>
          <w:szCs w:val="20"/>
        </w:rPr>
        <w:t>phosphorylation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of a protein of interest was analysed loading the same sample on two separate gels in parallel and considering the ratio between the </w:t>
      </w:r>
      <w:proofErr w:type="spellStart"/>
      <w:r w:rsidRPr="00ED59DF">
        <w:rPr>
          <w:rFonts w:ascii="Arial" w:hAnsi="Arial" w:cs="Arial"/>
          <w:sz w:val="20"/>
          <w:szCs w:val="20"/>
        </w:rPr>
        <w:t>phosphorylated</w:t>
      </w:r>
      <w:proofErr w:type="spellEnd"/>
      <w:r w:rsidRPr="00ED59DF">
        <w:rPr>
          <w:rFonts w:ascii="Arial" w:hAnsi="Arial" w:cs="Arial"/>
          <w:sz w:val="20"/>
          <w:szCs w:val="20"/>
        </w:rPr>
        <w:t xml:space="preserve"> and total forms normalized on their own GAPDH. </w:t>
      </w:r>
    </w:p>
    <w:p w:rsidR="00BB0511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ED59DF">
        <w:rPr>
          <w:rFonts w:ascii="Arial" w:hAnsi="Arial" w:cs="Arial"/>
          <w:sz w:val="20"/>
          <w:szCs w:val="20"/>
        </w:rPr>
        <w:t>L</w:t>
      </w:r>
      <w:r w:rsidR="00BB0511" w:rsidRPr="00ED59DF">
        <w:rPr>
          <w:rFonts w:ascii="Arial" w:hAnsi="Arial" w:cs="Arial"/>
          <w:sz w:val="20"/>
          <w:szCs w:val="20"/>
        </w:rPr>
        <w:t>ist of antibodies</w:t>
      </w:r>
      <w:r w:rsidRPr="00ED59DF">
        <w:rPr>
          <w:rFonts w:ascii="Arial" w:hAnsi="Arial" w:cs="Arial"/>
          <w:sz w:val="20"/>
          <w:szCs w:val="20"/>
        </w:rPr>
        <w:t xml:space="preserve"> used for western blot protocol: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ED59DF">
        <w:rPr>
          <w:rFonts w:ascii="Arial" w:hAnsi="Arial" w:cs="Arial"/>
          <w:sz w:val="20"/>
        </w:rPr>
        <w:t>Actin</w:t>
      </w:r>
      <w:proofErr w:type="spellEnd"/>
      <w:r w:rsidRPr="00ED59DF">
        <w:rPr>
          <w:rFonts w:ascii="Arial" w:hAnsi="Arial" w:cs="Arial"/>
          <w:sz w:val="20"/>
        </w:rPr>
        <w:t>, Sigma #A5441 Mouse; Monoclonal, 1:1 000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>- PRRT2, Sigma #HPA014447 Rabbit; Polyclonal, 1:1 000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>- Rac1, BD Biosciences #610650 Mouse; Monoclonal, 1:1 000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 xml:space="preserve">- Cdc42, Cell </w:t>
      </w:r>
      <w:proofErr w:type="spellStart"/>
      <w:r w:rsidRPr="00ED59DF">
        <w:rPr>
          <w:rFonts w:ascii="Arial" w:hAnsi="Arial" w:cs="Arial"/>
          <w:sz w:val="20"/>
        </w:rPr>
        <w:t>Signaling</w:t>
      </w:r>
      <w:proofErr w:type="spellEnd"/>
      <w:r w:rsidRPr="00ED59DF">
        <w:rPr>
          <w:rFonts w:ascii="Arial" w:hAnsi="Arial" w:cs="Arial"/>
          <w:sz w:val="20"/>
        </w:rPr>
        <w:t xml:space="preserve"> #2462 Rabbit; Polyclonal, 1:500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  <w:szCs w:val="20"/>
        </w:rPr>
        <w:t xml:space="preserve">- </w:t>
      </w:r>
      <w:r w:rsidRPr="00ED59DF">
        <w:rPr>
          <w:rFonts w:ascii="Arial" w:hAnsi="Arial" w:cs="Arial"/>
          <w:sz w:val="20"/>
        </w:rPr>
        <w:t xml:space="preserve">GAPDH, Cell </w:t>
      </w:r>
      <w:proofErr w:type="spellStart"/>
      <w:r w:rsidRPr="00ED59DF">
        <w:rPr>
          <w:rFonts w:ascii="Arial" w:hAnsi="Arial" w:cs="Arial"/>
          <w:sz w:val="20"/>
        </w:rPr>
        <w:t>Signaling</w:t>
      </w:r>
      <w:proofErr w:type="spellEnd"/>
      <w:r w:rsidRPr="00ED59DF">
        <w:rPr>
          <w:rFonts w:ascii="Arial" w:hAnsi="Arial" w:cs="Arial"/>
          <w:sz w:val="20"/>
        </w:rPr>
        <w:t xml:space="preserve"> #2118 Rabbit; Polyclonal, 1:10 000</w:t>
      </w:r>
    </w:p>
    <w:p w:rsidR="00205B0E" w:rsidRPr="00ED59DF" w:rsidRDefault="00205B0E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 xml:space="preserve">- </w:t>
      </w:r>
      <w:proofErr w:type="spellStart"/>
      <w:r w:rsidRPr="00ED59DF">
        <w:rPr>
          <w:rFonts w:ascii="Arial" w:hAnsi="Arial" w:cs="Arial"/>
          <w:sz w:val="20"/>
        </w:rPr>
        <w:t>dsRED</w:t>
      </w:r>
      <w:proofErr w:type="spellEnd"/>
      <w:r w:rsidRPr="00ED59DF">
        <w:rPr>
          <w:rFonts w:ascii="Arial" w:hAnsi="Arial" w:cs="Arial"/>
          <w:sz w:val="20"/>
        </w:rPr>
        <w:t xml:space="preserve">, </w:t>
      </w:r>
      <w:proofErr w:type="spellStart"/>
      <w:r w:rsidRPr="00ED59DF">
        <w:rPr>
          <w:rFonts w:ascii="Arial" w:hAnsi="Arial" w:cs="Arial"/>
          <w:sz w:val="20"/>
        </w:rPr>
        <w:t>Clonotech</w:t>
      </w:r>
      <w:proofErr w:type="spellEnd"/>
      <w:r w:rsidRPr="00ED59DF">
        <w:rPr>
          <w:rFonts w:ascii="Arial" w:hAnsi="Arial" w:cs="Arial"/>
          <w:sz w:val="20"/>
        </w:rPr>
        <w:t xml:space="preserve">  #632496 Rabbit; Polyclonal, 1:1 000</w:t>
      </w:r>
    </w:p>
    <w:p w:rsidR="00205B0E" w:rsidRPr="00ED59DF" w:rsidRDefault="00205B0E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lastRenderedPageBreak/>
        <w:t>- Caspase-3, Cell signalling #D3R6Y Rabbit; Polyclonal, 1:1 000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>- pTyr</w:t>
      </w:r>
      <w:r w:rsidRPr="00ED59DF">
        <w:rPr>
          <w:rFonts w:ascii="Arial" w:hAnsi="Arial" w:cs="Arial"/>
          <w:sz w:val="20"/>
          <w:vertAlign w:val="superscript"/>
        </w:rPr>
        <w:t>416</w:t>
      </w:r>
      <w:r w:rsidRPr="00ED59DF">
        <w:rPr>
          <w:rFonts w:ascii="Arial" w:hAnsi="Arial" w:cs="Arial"/>
          <w:sz w:val="20"/>
        </w:rPr>
        <w:t>SRC, Cell signalling #2101 Rabbit; Polyclonal, 1:1 000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 xml:space="preserve">- SRC, Cell </w:t>
      </w:r>
      <w:proofErr w:type="spellStart"/>
      <w:r w:rsidRPr="00ED59DF">
        <w:rPr>
          <w:rFonts w:ascii="Arial" w:hAnsi="Arial" w:cs="Arial"/>
          <w:sz w:val="20"/>
        </w:rPr>
        <w:t>signaling</w:t>
      </w:r>
      <w:proofErr w:type="spellEnd"/>
      <w:r w:rsidRPr="00ED59DF">
        <w:rPr>
          <w:rFonts w:ascii="Arial" w:hAnsi="Arial" w:cs="Arial"/>
          <w:sz w:val="20"/>
        </w:rPr>
        <w:t xml:space="preserve"> #2108 Rabbit; Polyclonal, 1:1 000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>- pThr</w:t>
      </w:r>
      <w:r w:rsidRPr="00ED59DF">
        <w:rPr>
          <w:rFonts w:ascii="Arial" w:hAnsi="Arial" w:cs="Arial"/>
          <w:sz w:val="20"/>
          <w:vertAlign w:val="superscript"/>
        </w:rPr>
        <w:t>423</w:t>
      </w:r>
      <w:r w:rsidRPr="00ED59DF">
        <w:rPr>
          <w:rFonts w:ascii="Arial" w:hAnsi="Arial" w:cs="Arial"/>
          <w:sz w:val="20"/>
        </w:rPr>
        <w:t xml:space="preserve">PAK, Cell </w:t>
      </w:r>
      <w:proofErr w:type="spellStart"/>
      <w:r w:rsidRPr="00ED59DF">
        <w:rPr>
          <w:rFonts w:ascii="Arial" w:hAnsi="Arial" w:cs="Arial"/>
          <w:sz w:val="20"/>
        </w:rPr>
        <w:t>Signaling</w:t>
      </w:r>
      <w:proofErr w:type="spellEnd"/>
      <w:r w:rsidRPr="00ED59DF">
        <w:rPr>
          <w:rFonts w:ascii="Arial" w:hAnsi="Arial" w:cs="Arial"/>
          <w:sz w:val="20"/>
        </w:rPr>
        <w:t xml:space="preserve"> #2601 Rabbit; Polyclonal, 1:500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>- PAK, Santa Cruz #8801 Rabbit; Polyclonal, 1:1 000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>- pTyr</w:t>
      </w:r>
      <w:r w:rsidRPr="00ED59DF">
        <w:rPr>
          <w:rFonts w:ascii="Arial" w:hAnsi="Arial" w:cs="Arial"/>
          <w:sz w:val="20"/>
          <w:vertAlign w:val="superscript"/>
        </w:rPr>
        <w:t>397</w:t>
      </w:r>
      <w:r w:rsidRPr="00ED59DF">
        <w:rPr>
          <w:rFonts w:ascii="Arial" w:hAnsi="Arial" w:cs="Arial"/>
          <w:sz w:val="20"/>
        </w:rPr>
        <w:t xml:space="preserve">FAK, </w:t>
      </w:r>
      <w:proofErr w:type="spellStart"/>
      <w:r w:rsidRPr="00ED59DF">
        <w:rPr>
          <w:rFonts w:ascii="Arial" w:hAnsi="Arial" w:cs="Arial"/>
          <w:sz w:val="20"/>
        </w:rPr>
        <w:t>ThermoFisher</w:t>
      </w:r>
      <w:proofErr w:type="spellEnd"/>
      <w:r w:rsidRPr="00ED59DF">
        <w:rPr>
          <w:rFonts w:ascii="Arial" w:hAnsi="Arial" w:cs="Arial"/>
          <w:sz w:val="20"/>
        </w:rPr>
        <w:t xml:space="preserve"> #44-6246 Rabbit; Polyclonal, 1:1 000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>- FAK, Millipore #05-537 Mouse; Monoclonal, 1:1 000</w:t>
      </w:r>
    </w:p>
    <w:p w:rsidR="00DD0335" w:rsidRPr="00ED59DF" w:rsidRDefault="00DD0335" w:rsidP="00DD0335">
      <w:pPr>
        <w:spacing w:after="0"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>- pSer</w:t>
      </w:r>
      <w:r w:rsidRPr="00ED59DF">
        <w:rPr>
          <w:rFonts w:ascii="Arial" w:hAnsi="Arial" w:cs="Arial"/>
          <w:sz w:val="20"/>
          <w:vertAlign w:val="superscript"/>
        </w:rPr>
        <w:t>3</w:t>
      </w:r>
      <w:r w:rsidRPr="00ED59DF">
        <w:rPr>
          <w:rFonts w:ascii="Arial" w:hAnsi="Arial" w:cs="Arial"/>
          <w:sz w:val="20"/>
        </w:rPr>
        <w:t xml:space="preserve">Cofilin, Cell </w:t>
      </w:r>
      <w:proofErr w:type="spellStart"/>
      <w:r w:rsidRPr="00ED59DF">
        <w:rPr>
          <w:rFonts w:ascii="Arial" w:hAnsi="Arial" w:cs="Arial"/>
          <w:sz w:val="20"/>
        </w:rPr>
        <w:t>Signaling</w:t>
      </w:r>
      <w:proofErr w:type="spellEnd"/>
      <w:r w:rsidRPr="00ED59DF">
        <w:rPr>
          <w:rFonts w:ascii="Arial" w:hAnsi="Arial" w:cs="Arial"/>
          <w:sz w:val="20"/>
        </w:rPr>
        <w:t xml:space="preserve"> #3313 Rabbit; Polyclonal, 1:1 000</w:t>
      </w:r>
    </w:p>
    <w:p w:rsidR="00DD0335" w:rsidRPr="00DD0335" w:rsidRDefault="00DD0335" w:rsidP="00DD0335">
      <w:pPr>
        <w:spacing w:line="480" w:lineRule="auto"/>
        <w:jc w:val="both"/>
        <w:rPr>
          <w:rFonts w:ascii="Arial" w:hAnsi="Arial" w:cs="Arial"/>
          <w:sz w:val="20"/>
        </w:rPr>
      </w:pPr>
      <w:r w:rsidRPr="00ED59DF">
        <w:rPr>
          <w:rFonts w:ascii="Arial" w:hAnsi="Arial" w:cs="Arial"/>
          <w:sz w:val="20"/>
        </w:rPr>
        <w:t xml:space="preserve">- </w:t>
      </w:r>
      <w:proofErr w:type="spellStart"/>
      <w:r w:rsidRPr="00ED59DF">
        <w:rPr>
          <w:rFonts w:ascii="Arial" w:hAnsi="Arial" w:cs="Arial"/>
          <w:sz w:val="20"/>
        </w:rPr>
        <w:t>Cofilin</w:t>
      </w:r>
      <w:proofErr w:type="spellEnd"/>
      <w:r w:rsidRPr="00ED59DF">
        <w:rPr>
          <w:rFonts w:ascii="Arial" w:hAnsi="Arial" w:cs="Arial"/>
          <w:sz w:val="20"/>
        </w:rPr>
        <w:t xml:space="preserve">, </w:t>
      </w:r>
      <w:proofErr w:type="spellStart"/>
      <w:r w:rsidRPr="00ED59DF">
        <w:rPr>
          <w:rFonts w:ascii="Arial" w:hAnsi="Arial" w:cs="Arial"/>
          <w:sz w:val="20"/>
        </w:rPr>
        <w:t>Abcam</w:t>
      </w:r>
      <w:proofErr w:type="spellEnd"/>
      <w:r w:rsidRPr="00ED59DF">
        <w:rPr>
          <w:rFonts w:ascii="Arial" w:hAnsi="Arial" w:cs="Arial"/>
          <w:sz w:val="20"/>
        </w:rPr>
        <w:t xml:space="preserve"> #54532 Mouse; Monoclonal, 1:500</w:t>
      </w:r>
    </w:p>
    <w:sectPr w:rsidR="00DD0335" w:rsidRPr="00DD0335" w:rsidSect="00DD0335">
      <w:footerReference w:type="default" r:id="rId6"/>
      <w:pgSz w:w="11906" w:h="16838"/>
      <w:pgMar w:top="1440" w:right="2880" w:bottom="1440" w:left="288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955" w:rsidRDefault="006D5955" w:rsidP="00A06D3E">
      <w:pPr>
        <w:spacing w:after="0" w:line="240" w:lineRule="auto"/>
      </w:pPr>
      <w:r>
        <w:separator/>
      </w:r>
    </w:p>
  </w:endnote>
  <w:endnote w:type="continuationSeparator" w:id="0">
    <w:p w:rsidR="006D5955" w:rsidRDefault="006D5955" w:rsidP="00A0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219596"/>
      <w:docPartObj>
        <w:docPartGallery w:val="Page Numbers (Bottom of Page)"/>
        <w:docPartUnique/>
      </w:docPartObj>
    </w:sdtPr>
    <w:sdtContent>
      <w:p w:rsidR="00A06D3E" w:rsidRDefault="007B2579">
        <w:pPr>
          <w:pStyle w:val="Pidipagina"/>
          <w:jc w:val="right"/>
        </w:pPr>
        <w:fldSimple w:instr=" PAGE   \* MERGEFORMAT ">
          <w:r w:rsidR="00ED59DF">
            <w:rPr>
              <w:noProof/>
            </w:rPr>
            <w:t>4</w:t>
          </w:r>
        </w:fldSimple>
      </w:p>
    </w:sdtContent>
  </w:sdt>
  <w:p w:rsidR="00A06D3E" w:rsidRDefault="00A06D3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955" w:rsidRDefault="006D5955" w:rsidP="00A06D3E">
      <w:pPr>
        <w:spacing w:after="0" w:line="240" w:lineRule="auto"/>
      </w:pPr>
      <w:r>
        <w:separator/>
      </w:r>
    </w:p>
  </w:footnote>
  <w:footnote w:type="continuationSeparator" w:id="0">
    <w:p w:rsidR="006D5955" w:rsidRDefault="006D5955" w:rsidP="00A06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511"/>
    <w:rsid w:val="00202BFE"/>
    <w:rsid w:val="00203C69"/>
    <w:rsid w:val="00205B0E"/>
    <w:rsid w:val="00575E39"/>
    <w:rsid w:val="006D5955"/>
    <w:rsid w:val="007B2579"/>
    <w:rsid w:val="008F7E72"/>
    <w:rsid w:val="009E5479"/>
    <w:rsid w:val="00A06D3E"/>
    <w:rsid w:val="00A87BEA"/>
    <w:rsid w:val="00BB0511"/>
    <w:rsid w:val="00BB1B95"/>
    <w:rsid w:val="00BE0934"/>
    <w:rsid w:val="00C06D32"/>
    <w:rsid w:val="00D00E1A"/>
    <w:rsid w:val="00DB370B"/>
    <w:rsid w:val="00DD0335"/>
    <w:rsid w:val="00DD4C45"/>
    <w:rsid w:val="00E2001E"/>
    <w:rsid w:val="00ED59DF"/>
    <w:rsid w:val="00ED737E"/>
    <w:rsid w:val="00FD0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0511"/>
    <w:pPr>
      <w:spacing w:after="200" w:line="276" w:lineRule="auto"/>
    </w:pPr>
    <w:rPr>
      <w:sz w:val="22"/>
      <w:szCs w:val="22"/>
      <w:lang w:val="en-GB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001E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2001E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001E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2001E"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E2001E"/>
    <w:pPr>
      <w:keepNext/>
      <w:keepLines/>
      <w:spacing w:before="200" w:after="0"/>
      <w:outlineLvl w:val="4"/>
    </w:pPr>
    <w:rPr>
      <w:rFonts w:ascii="Cambria" w:eastAsia="MS Gothic" w:hAnsi="Cambria"/>
      <w:color w:val="243F60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2001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2001E"/>
    <w:rPr>
      <w:rFonts w:ascii="Cambria" w:eastAsia="MS Gothic" w:hAnsi="Cambria" w:cs="Times New Roman"/>
      <w:b/>
      <w:bCs/>
      <w:color w:val="365F91"/>
      <w:sz w:val="28"/>
      <w:szCs w:val="28"/>
      <w:lang w:val="en-GB"/>
    </w:rPr>
  </w:style>
  <w:style w:type="character" w:customStyle="1" w:styleId="Titolo2Carattere">
    <w:name w:val="Titolo 2 Carattere"/>
    <w:link w:val="Titolo2"/>
    <w:uiPriority w:val="9"/>
    <w:rsid w:val="00E2001E"/>
    <w:rPr>
      <w:rFonts w:ascii="Cambria" w:eastAsia="MS Gothic" w:hAnsi="Cambria" w:cs="Times New Roman"/>
      <w:b/>
      <w:bCs/>
      <w:color w:val="4F81BD"/>
      <w:sz w:val="26"/>
      <w:szCs w:val="26"/>
      <w:lang w:val="en-GB"/>
    </w:rPr>
  </w:style>
  <w:style w:type="character" w:customStyle="1" w:styleId="Titolo3Carattere">
    <w:name w:val="Titolo 3 Carattere"/>
    <w:link w:val="Titolo3"/>
    <w:uiPriority w:val="9"/>
    <w:rsid w:val="00E2001E"/>
    <w:rPr>
      <w:rFonts w:ascii="Cambria" w:eastAsia="MS Gothic" w:hAnsi="Cambria" w:cs="Times New Roman"/>
      <w:b/>
      <w:bCs/>
      <w:color w:val="4F81BD"/>
      <w:lang w:val="en-GB"/>
    </w:rPr>
  </w:style>
  <w:style w:type="character" w:customStyle="1" w:styleId="Titolo4Carattere">
    <w:name w:val="Titolo 4 Carattere"/>
    <w:link w:val="Titolo4"/>
    <w:uiPriority w:val="9"/>
    <w:rsid w:val="00E2001E"/>
    <w:rPr>
      <w:rFonts w:ascii="Cambria" w:eastAsia="MS Gothic" w:hAnsi="Cambria" w:cs="Times New Roman"/>
      <w:b/>
      <w:bCs/>
      <w:i/>
      <w:iCs/>
      <w:color w:val="4F81BD"/>
      <w:lang w:val="en-GB"/>
    </w:rPr>
  </w:style>
  <w:style w:type="character" w:customStyle="1" w:styleId="Titolo5Carattere">
    <w:name w:val="Titolo 5 Carattere"/>
    <w:link w:val="Titolo5"/>
    <w:uiPriority w:val="9"/>
    <w:rsid w:val="00E2001E"/>
    <w:rPr>
      <w:rFonts w:ascii="Cambria" w:eastAsia="MS Gothic" w:hAnsi="Cambria" w:cs="Times New Roman"/>
      <w:color w:val="243F60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2001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GB" w:eastAsia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E2001E"/>
    <w:pPr>
      <w:spacing w:before="240" w:after="120"/>
    </w:pPr>
    <w:rPr>
      <w:b/>
      <w:caps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E2001E"/>
    <w:pPr>
      <w:spacing w:after="0"/>
    </w:pPr>
    <w:rPr>
      <w:b/>
      <w:smallCaps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E2001E"/>
    <w:pPr>
      <w:spacing w:after="0"/>
    </w:pPr>
    <w:rPr>
      <w:smallCaps/>
    </w:rPr>
  </w:style>
  <w:style w:type="paragraph" w:styleId="Didascalia">
    <w:name w:val="caption"/>
    <w:basedOn w:val="Normale"/>
    <w:next w:val="Normale"/>
    <w:uiPriority w:val="35"/>
    <w:unhideWhenUsed/>
    <w:qFormat/>
    <w:rsid w:val="00E2001E"/>
    <w:pPr>
      <w:spacing w:line="240" w:lineRule="auto"/>
    </w:pPr>
    <w:rPr>
      <w:b/>
      <w:bCs/>
      <w:color w:val="4F81BD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001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  <w:lang w:eastAsia="it-IT"/>
    </w:rPr>
  </w:style>
  <w:style w:type="character" w:customStyle="1" w:styleId="TitoloCarattere">
    <w:name w:val="Titolo Carattere"/>
    <w:link w:val="Titolo"/>
    <w:uiPriority w:val="10"/>
    <w:rsid w:val="00E2001E"/>
    <w:rPr>
      <w:rFonts w:ascii="Cambria" w:eastAsia="MS Gothic" w:hAnsi="Cambria" w:cs="Times New Roman"/>
      <w:color w:val="17365D"/>
      <w:spacing w:val="5"/>
      <w:kern w:val="28"/>
      <w:sz w:val="52"/>
      <w:szCs w:val="52"/>
      <w:lang w:val="en-GB"/>
    </w:rPr>
  </w:style>
  <w:style w:type="character" w:styleId="Enfasigrassetto">
    <w:name w:val="Strong"/>
    <w:basedOn w:val="Carpredefinitoparagrafo"/>
    <w:uiPriority w:val="22"/>
    <w:qFormat/>
    <w:rsid w:val="00E2001E"/>
    <w:rPr>
      <w:b/>
      <w:bCs/>
    </w:rPr>
  </w:style>
  <w:style w:type="character" w:styleId="Enfasicorsivo">
    <w:name w:val="Emphasis"/>
    <w:uiPriority w:val="20"/>
    <w:qFormat/>
    <w:rsid w:val="00E2001E"/>
    <w:rPr>
      <w:i/>
      <w:iCs/>
    </w:rPr>
  </w:style>
  <w:style w:type="paragraph" w:styleId="Paragrafoelenco">
    <w:name w:val="List Paragraph"/>
    <w:basedOn w:val="Normale"/>
    <w:uiPriority w:val="34"/>
    <w:qFormat/>
    <w:rsid w:val="00E200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001E"/>
    <w:rPr>
      <w:b/>
      <w:bCs/>
      <w:i/>
      <w:iCs/>
      <w:color w:val="4F81BD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E2001E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val="it-IT" w:eastAsia="en-US"/>
    </w:rPr>
  </w:style>
  <w:style w:type="table" w:styleId="Grigliatabella">
    <w:name w:val="Table Grid"/>
    <w:basedOn w:val="Tabellanormale"/>
    <w:uiPriority w:val="59"/>
    <w:rsid w:val="00DD033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riga">
    <w:name w:val="line number"/>
    <w:basedOn w:val="Carpredefinitoparagrafo"/>
    <w:uiPriority w:val="99"/>
    <w:semiHidden/>
    <w:unhideWhenUsed/>
    <w:rsid w:val="00DD0335"/>
  </w:style>
  <w:style w:type="paragraph" w:styleId="Intestazione">
    <w:name w:val="header"/>
    <w:basedOn w:val="Normale"/>
    <w:link w:val="IntestazioneCarattere"/>
    <w:uiPriority w:val="99"/>
    <w:semiHidden/>
    <w:unhideWhenUsed/>
    <w:rsid w:val="00A06D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06D3E"/>
    <w:rPr>
      <w:sz w:val="22"/>
      <w:szCs w:val="22"/>
      <w:lang w:val="en-GB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06D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6D3E"/>
    <w:rPr>
      <w:sz w:val="22"/>
      <w:szCs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Savino</dc:creator>
  <cp:lastModifiedBy>Elisa Savino</cp:lastModifiedBy>
  <cp:revision>2</cp:revision>
  <dcterms:created xsi:type="dcterms:W3CDTF">2020-08-24T10:50:00Z</dcterms:created>
  <dcterms:modified xsi:type="dcterms:W3CDTF">2020-08-24T10:50:00Z</dcterms:modified>
</cp:coreProperties>
</file>