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8D" w:rsidRPr="00FB773D" w:rsidRDefault="001A5E8D" w:rsidP="001A5E8D">
      <w:pPr>
        <w:spacing w:line="480" w:lineRule="auto"/>
        <w:rPr>
          <w:rFonts w:ascii="Arial" w:eastAsia="Calibri" w:hAnsi="Arial" w:cs="Arial"/>
          <w:b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sz w:val="20"/>
          <w:szCs w:val="20"/>
          <w:lang w:val="en-US" w:eastAsia="en-GB"/>
        </w:rPr>
        <w:t>SUPPLEMENTARY MATERIALS AND METHODS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b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Preparation of Z</w:t>
      </w:r>
      <w:r w:rsidRPr="00FB773D">
        <w:rPr>
          <w:rFonts w:ascii="Arial" w:eastAsia="Calibri" w:hAnsi="Arial" w:cs="Arial"/>
          <w:b/>
          <w:bCs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-IR700 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Briefly,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-Cys was incubated with </w:t>
      </w:r>
      <w:proofErr w:type="spellStart"/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Tris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(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2-carboxyethyl)phosphine hydrochloride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TCEP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.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HCl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Sigma-Aldrich, UK) (25-fold molar excess) and IR700 (8-fold molar excess) in 1M Phosphate buffer pH 7.2 for 2.5 h at 40°C. The product was isolated by size-exclusion chromatography using two consecutive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Zeba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™ Spin Desalting Columns (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7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kDa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MWCO)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Fisher Scientific, UK). The conjugate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characterized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by ESI-MS using a 6520 Series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qToF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mass spectrometer fitted with a dual ESI ionization source (Agilent, Santa Clara, USA) and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Tricine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-SDS-PAGE. On the gel, the protein bands were visualized after silver staining (Silver Staining kit,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Scientific, UK) using a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ChemiDoc™XRS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System (Bio-Rad, UK). Fluorescent bands were captured using a Typhoon™ FLA7000 scanner (ex. 635 nm, band filter 670 nm; GE Healthcare Life Sciences, UK).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b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Binding specificity </w:t>
      </w:r>
      <w:r w:rsidRPr="00FB773D">
        <w:rPr>
          <w:rFonts w:ascii="Arial" w:eastAsia="Calibri" w:hAnsi="Arial" w:cs="Arial"/>
          <w:b/>
          <w:bCs/>
          <w:i/>
          <w:iCs/>
          <w:sz w:val="20"/>
          <w:szCs w:val="20"/>
          <w:lang w:val="en-GB" w:eastAsia="en-GB"/>
        </w:rPr>
        <w:t>in vitro</w:t>
      </w: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 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To assess the expression level of HER2 and validate the binding specificity of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-IR700 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>in vitro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flow cytometry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performed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. Cells (3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sym w:font="Symbol" w:char="F0B4"/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10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) were incubated for 1 h at 4°C with FITC-labelled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mAb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against HER2 (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1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mg/10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6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cells; sc-23864, Santa Cruz Biotechnology, US), IR700 (30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nM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),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-IR700 (30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nM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) with or without 50-fold excess of unlabelled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. Post-incubation, cells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were washed twice with cold phosphate-buffered saline (PBS) and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resuspended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in 400 µL of PBS for data acquisition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. For each measurement, data from 10 000 events were collected with a BD™ LSRII flow cytometer (BD Biosciences, US) using 488 nm and 635 nm lasers. Fluorescence of FITC and IR700 was detected by 530/30 nm and 730/45 nm (Alexa700 setting)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bandpass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filters, respectively. Signals from single cell-populations were gated and analysed using FlowJo software (FlowJo LLC, US). Each group was normalized to the median fluorescence intensity (MIF) acquired for SKOV-3 cells.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b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Cellular accumulation of Z</w:t>
      </w:r>
      <w:r w:rsidRPr="00FB773D">
        <w:rPr>
          <w:rFonts w:ascii="Arial" w:eastAsia="Calibri" w:hAnsi="Arial" w:cs="Arial"/>
          <w:b/>
          <w:bCs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-IR700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Hoechst®33342 (nuclear stain;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5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µg/mL;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Fisher Scientific, US) and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Lysotracker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™ Green DND-26 (lysosome stain; 5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nM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;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Fisher Scientific, US) were used for cellular counterstaining 30 min before imaging. Samples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washed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twice post-incubation with PBS and images were captured using the Zeiss LSM700 confocal microscope (Carl Zeiss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Inc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Germany) equipped with 405 nm, 488 nm and 639 nm lasers and appropriate filters. Data were analysed using the Zen2009 software (Carl Zeiss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Inc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Germany). 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Cs/>
          <w:sz w:val="20"/>
          <w:szCs w:val="20"/>
          <w:lang w:val="en-GB" w:eastAsia="en-GB"/>
        </w:rPr>
        <w:t> 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b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i/>
          <w:iCs/>
          <w:sz w:val="20"/>
          <w:szCs w:val="20"/>
          <w:lang w:val="en-GB" w:eastAsia="en-GB"/>
        </w:rPr>
        <w:lastRenderedPageBreak/>
        <w:t>In vitro</w:t>
      </w: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 PIT studies</w:t>
      </w:r>
    </w:p>
    <w:p w:rsidR="001A5E8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SKOV-3, BT-474 or MDA-MB-468 cells were seeded (8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sym w:font="Symbol" w:char="F0B4"/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103) in black, cell-culture 96-well plates with clear bottoms 24 h before the experiment. For 3D SKOV-3 spheroids, ~3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sym w:font="Symbol" w:char="F0B4"/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103 cells were seeded in ULA plates and left to grow for 96 h. Afterwards, fresh medium (control cells) and medium containing either ZHER2:2395-IR700 (0.01-1 µM) or IR700 (1 µM) was added for 6 h and the plates were incubated at 37°C. Next, cells or spheroids were rinsed twice with phenol-red-free medium and irradiated (16 J/cm2) using a LED light source (L690−66−60, Marubeni America Co., US) at wavelengths of 670–710 nm (peak at 690 nm, mean power density of 12.5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mW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/cm2, current of 285 mA). For inhibition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studies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SKOV-3 cells were co-incubated (6 h pre and 24 h post irradiation) with NAC (5 mM) or Z-VAD-FMK (25 µM). The viability of cells and 3D spheroids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assessed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by the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CellTiter-Glo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® luminescent assay at 24 or 96 h post-irradiation, respectively. Data are presented as the mean of n =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3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independent measurements ± SEM. Spheroid size was measured using the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Celigo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® imaging system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Nexcelom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Bioscience, US). In addition, the live/dead cells within the 3D spheres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visualized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using a LIVE/DEAD™ Cell Imaging Kit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Fisher Scientific, UK) 96 h post-treatment according to the manufacturer's protocol. Briefly, SKOV-3 spheroids were co-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incubated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with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Calcein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AM (live, green; 488/515 nm) and ethidium homodimer-1 (EthD-1, dead, red; 570/602 nm) for 1 h. Afterwards, the spheres were washed with PBS and images were captured with the Zeiss LSM700 confocal microscope (Carl Zeiss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Inc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). Maximum intensity projections (MIP) were generated from Z-stack images taken at 6-7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sym w:font="Symbol" w:char="F06D"/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m intervals, using the following settings: 1024x1024 pixels,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8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speed, 4 averaging.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proofErr w:type="spellStart"/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 V/PI assay 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SKOV-3 cells (3×10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)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seeded in 35 mm cell-culture dishes and cultured overnight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. On the following day, the medium was replaced with either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-IR700 (0.1 or 1 µM), IR700 (0.1 or 1 µM) or medium alone and cells were incubated further at room temperature (RT) for 1 h or 37°C for 6 h. PIT experiments were performed using a mean optical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fluence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of either 8 or 16 J/cm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. At 1 and 24 h post-irradiation, cells were dissociated with trypsin (Gibco, Life Technologies, US) and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resuspended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in 0.1 mL of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V-binding buffer with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propidium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iodide (PI; 0.5 mg/mL) and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V-AlexaFluor™488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AnnexinV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/Dead Cell Apoptosis Kit,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Fisher Scientific, US) according to the manufacturer's instruction. The sample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then incubated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for 15 minutes at RT, protected from light. Stained cells were analysed using BD™ LSRII flow cytometer, using green fluorescence emission at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lastRenderedPageBreak/>
        <w:t xml:space="preserve">530/30 nm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bandpass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(for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V-AlexaFluor™488) and 610/20 nm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bandpass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(for PI). For analysis, the different cell populations were discriminated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on the basis of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the labelling: viable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V–/PI–), apoptotic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V+/PI–) and necrotic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Annexin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V+/PI+).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Western blot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Proteins released into the medium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extracted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using an acetone precipitation protocol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Thermo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Fisher Scientific, US). Samples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were resolved by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Tris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-SDS/PAGE and transferred onto a nitrocellulose membrane (GE Healthcare, UK)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. The blots were blocked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with 5% milk in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Tris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-buffered saline with Tween (0.05%) for 1 h at RT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and then incubated overnight at 4°C with primary antibodies, followed by 1 h incubation at RT with horseradish peroxidase-conjugated secondary antibody. The primary antibodies used were against HER2 (1:1000, #2242), GAPDH (1:1000, #5174), HSP70 (1:800#4872), HSP90 (1:800, #4877), HMGB1 (1:500, #6893) and β-actin (1:1000, #4967), all from Cell Signalling Technology, US.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Densitometric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analysis results are presented as the mean </w:t>
      </w:r>
      <w:r w:rsidRPr="00FB773D">
        <w:rPr>
          <w:rFonts w:ascii="Arial" w:eastAsia="Calibri" w:hAnsi="Arial" w:cs="Arial"/>
          <w:sz w:val="20"/>
          <w:szCs w:val="20"/>
          <w:u w:val="single"/>
          <w:lang w:val="en-GB" w:eastAsia="en-GB"/>
        </w:rPr>
        <w:t>+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SEM (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>n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=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3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independent experiments).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i/>
          <w:iCs/>
          <w:sz w:val="20"/>
          <w:szCs w:val="20"/>
          <w:lang w:val="en-GB" w:eastAsia="en-GB"/>
        </w:rPr>
        <w:t>In vivo</w:t>
      </w: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biodistribution</w:t>
      </w:r>
      <w:proofErr w:type="spellEnd"/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 and therapy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All procedures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carried out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under an approved Home Office project license (number PPL PCC916B22). Female NSG nude mice (6-8 weeks old) obtained from the in-house breeding colony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used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. Animals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were housed in 500 square cm Allentown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Nexgen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cages and given access to mice maintenance food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Labdiet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, US) and water ad libitum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. Environmental conditions were a temperature of 21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o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C±1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o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C, humidity of 55%±10%, and a 12:12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light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:dark</w:t>
      </w:r>
      <w:proofErr w:type="spellEnd"/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cycle with lights. Environmental enrichment included bedding substrate of Corn Cob 6/8, Aspen chew stick 5x1x1 cm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Datesand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product code CS3C15) and one Bed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r’nest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paper wool nesting material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Datesand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Product code BEDRNEST). During housing, animals were monitored twice daily for health status. No adverse events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observed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To evaluate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-IR700 accumulation and PIT efficacy 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>in vivo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, mice bearing subcutaneous SKOV-3 or BT-474 tumours implanted on the top right shoulder (7×10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 xml:space="preserve">6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cells/0.1 mL PBS/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Matrigel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; 20% v/v%; BD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Matrigel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™ Matrix, BD Bioscience, US) were used.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When the tumours reached approximately 50-100 mm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 xml:space="preserve">3,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mice were injected intravenously via the tail vein with 100 mL of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-IR700 (0.5, 3 or 18 µg) in 0.9% sterile saline, anaesthetised using isoflurane (1.5%-2% v/v in O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and imaged at the indicated time points using the IVIS/Spectrum imaging system (ex. filter: 675 nm,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em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. filter: 720 nm; PerkinElmer, US).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Regions of interest (ROIs) were drawn around the tumours and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lastRenderedPageBreak/>
        <w:t>background tissue, and the average radiant efficiency ((p/sec/cm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/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sr</w:t>
      </w:r>
      <w:proofErr w:type="spellEnd"/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)×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/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mW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) in each ROI was calculated. Mice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sacrificed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by cervical dislocation at 1 and 24 h post-injection of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-IR700 and major tissues and tumours were collected for 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>ex vivo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fluorescence imaging to determine the conjugate distribution. The tumour-to-organ ratios were determined and used to select the optimal conditions for the following PIT studies.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For proof of concept therapy studies, mice (n = 4-5 per group) were randomly assigned to the following groups: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i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) no treatment, ii) light exposure only (100 J/cm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), iii)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-IR700 (18 µg in 100 mL 0.9% sterile saline) without light exposure, iv)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-IR700 (18 µg in 100 mL 0.9% sterile saline) with light exposure (100 J/cm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).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</w:t>
      </w:r>
    </w:p>
    <w:p w:rsidR="001A5E8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The last group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subjected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to 4 cycles of therapy on days 0, 14, 25 and 36. The tumours were exposed to LED light for a duration of 516 seconds, which corresponded to a total dose of 100 J/cm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 xml:space="preserve">2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(mean power density of 0.19 ± 0.01 W/cm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2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LED current = 300 mA). During irradiation, the surrounding normal tissues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protected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with aluminium foil. Following first and third dose one mouse from each group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sacrificed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by cervical dislocation, tumours excised and evaluated 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>ex vivo.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Mice were weighted and tumour volumes measured every day by calliper using the formula (L × H × W)/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2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, where L is the length, W is the width, and H is the height of the tumour in millimetres. Mice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euthanized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by cervical dislocation when the tumours exceeded volume of 500 mm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3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proofErr w:type="spellStart"/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Immunohistochemical</w:t>
      </w:r>
      <w:proofErr w:type="spellEnd"/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 xml:space="preserve"> analysis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Spheroids submerged in agar and excised tumour tissues were prepared for immunohistochemistry (IHC) as follows: briefly, samples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collected and fixed in freshly prepared 4% paraformaldehyde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. Following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paraffin-embedding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and sectioning (4-5 µm slices), they were stained with hematoxylin and eosin (H&amp;E, Sigma-Aldrich), anti-Ki67 (1:200, #9027, Cell Signalling, US), anti-HMGB1 (1:1000, ab18256, 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Abcam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, US) and anti-HER2 (1:200, #2242, Cell Signalling, US) with the use of VECTASTAIN</w:t>
      </w:r>
      <w:r w:rsidRPr="00FB773D">
        <w:rPr>
          <w:rFonts w:ascii="Arial" w:eastAsia="Calibri" w:hAnsi="Arial" w:cs="Arial"/>
          <w:sz w:val="20"/>
          <w:szCs w:val="20"/>
          <w:vertAlign w:val="superscript"/>
          <w:lang w:val="en-GB" w:eastAsia="en-GB"/>
        </w:rPr>
        <w:t>®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ABC HRP Kit (Vector Laboratories, US).</w:t>
      </w:r>
    </w:p>
    <w:p w:rsidR="001A5E8D" w:rsidRPr="00FB773D" w:rsidRDefault="001A5E8D" w:rsidP="001A5E8D">
      <w:pPr>
        <w:spacing w:after="0"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b/>
          <w:bCs/>
          <w:sz w:val="20"/>
          <w:szCs w:val="20"/>
          <w:lang w:val="en-GB" w:eastAsia="en-GB"/>
        </w:rPr>
        <w:t>Statistical analysis</w:t>
      </w:r>
    </w:p>
    <w:p w:rsidR="001A5E8D" w:rsidRDefault="001A5E8D" w:rsidP="001A5E8D">
      <w:pPr>
        <w:spacing w:line="480" w:lineRule="auto"/>
        <w:rPr>
          <w:rFonts w:ascii="Arial" w:eastAsia="Calibri" w:hAnsi="Arial" w:cs="Arial"/>
          <w:sz w:val="20"/>
          <w:szCs w:val="20"/>
          <w:lang w:val="en-GB" w:eastAsia="en-GB"/>
        </w:rPr>
      </w:pP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If not otherwise stated, three experimental replicates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performed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for the 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 xml:space="preserve">in vitro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studies. All data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are presented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as mean ± SEM. For </w:t>
      </w:r>
      <w:r w:rsidRPr="00FB773D">
        <w:rPr>
          <w:rFonts w:ascii="Arial" w:eastAsia="Calibri" w:hAnsi="Arial" w:cs="Arial"/>
          <w:i/>
          <w:iCs/>
          <w:sz w:val="20"/>
          <w:szCs w:val="20"/>
          <w:lang w:val="en-GB" w:eastAsia="en-GB"/>
        </w:rPr>
        <w:t xml:space="preserve">in vivo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assessment of Z</w:t>
      </w:r>
      <w:r w:rsidRPr="00FB773D">
        <w:rPr>
          <w:rFonts w:ascii="Arial" w:eastAsia="Calibri" w:hAnsi="Arial" w:cs="Arial"/>
          <w:sz w:val="20"/>
          <w:szCs w:val="20"/>
          <w:vertAlign w:val="subscript"/>
          <w:lang w:val="en-GB" w:eastAsia="en-GB"/>
        </w:rPr>
        <w:t>HER2:2395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-IR700 distribution and PIT treatment response n = 3-5 mice per group were used. The mice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randomized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before treatment initiation. </w:t>
      </w:r>
      <w:r>
        <w:rPr>
          <w:rFonts w:ascii="Arial" w:eastAsia="Calibri" w:hAnsi="Arial" w:cs="Arial"/>
          <w:sz w:val="20"/>
          <w:szCs w:val="20"/>
          <w:lang w:val="en-GB" w:eastAsia="en-GB"/>
        </w:rPr>
        <w:t xml:space="preserve">No studies </w:t>
      </w:r>
      <w:proofErr w:type="gramStart"/>
      <w:r>
        <w:rPr>
          <w:rFonts w:ascii="Arial" w:eastAsia="Calibri" w:hAnsi="Arial" w:cs="Arial"/>
          <w:sz w:val="20"/>
          <w:szCs w:val="20"/>
          <w:lang w:val="en-GB" w:eastAsia="en-GB"/>
        </w:rPr>
        <w:t>were blinded</w:t>
      </w:r>
      <w:proofErr w:type="gramEnd"/>
      <w:r>
        <w:rPr>
          <w:rFonts w:ascii="Arial" w:eastAsia="Calibri" w:hAnsi="Arial" w:cs="Arial"/>
          <w:sz w:val="20"/>
          <w:szCs w:val="20"/>
          <w:lang w:val="en-GB" w:eastAsia="en-GB"/>
        </w:rPr>
        <w:t xml:space="preserve">.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No data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were excluded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from the analysis. Group differences were assessed by unpaired multiple t tests with Holm-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Sidak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post-hoc tests for measuring significance. Results were considered statistically significant when p&lt;0.05. For significant differences, * means </w:t>
      </w:r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lastRenderedPageBreak/>
        <w:t xml:space="preserve">p&lt;0.05, ** p&lt;0.01 and *** p&lt;0.001, **** p&lt;0.0001. Survival analysis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conducted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with Kaplan-Meier curves, and their comparison was performed with the log-rank (Mantel-Cox) test. The number of experiments performed (minimum 3)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is detailed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in each Figure (n). Statistical analysis </w:t>
      </w:r>
      <w:proofErr w:type="gram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was performed</w:t>
      </w:r>
      <w:proofErr w:type="gram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using Prism software (</w:t>
      </w:r>
      <w:proofErr w:type="spellStart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>GraphPad</w:t>
      </w:r>
      <w:proofErr w:type="spellEnd"/>
      <w:r w:rsidRPr="00FB773D">
        <w:rPr>
          <w:rFonts w:ascii="Arial" w:eastAsia="Calibri" w:hAnsi="Arial" w:cs="Arial"/>
          <w:sz w:val="20"/>
          <w:szCs w:val="20"/>
          <w:lang w:val="en-GB" w:eastAsia="en-GB"/>
        </w:rPr>
        <w:t xml:space="preserve"> Prism Software v8.0).</w:t>
      </w:r>
    </w:p>
    <w:p w:rsidR="00CA6732" w:rsidRPr="001A5E8D" w:rsidRDefault="001A5E8D">
      <w:pPr>
        <w:rPr>
          <w:lang w:val="en-GB"/>
        </w:rPr>
      </w:pPr>
      <w:bookmarkStart w:id="0" w:name="_GoBack"/>
      <w:bookmarkEnd w:id="0"/>
    </w:p>
    <w:sectPr w:rsidR="00CA6732" w:rsidRPr="001A5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D0054"/>
    <w:multiLevelType w:val="multilevel"/>
    <w:tmpl w:val="1B9C6EEC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40" w:hanging="34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hanging="3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8D"/>
    <w:rsid w:val="0000093C"/>
    <w:rsid w:val="00085B70"/>
    <w:rsid w:val="001A5E8D"/>
    <w:rsid w:val="00445B27"/>
    <w:rsid w:val="00637247"/>
    <w:rsid w:val="006878DB"/>
    <w:rsid w:val="008303B4"/>
    <w:rsid w:val="009161B5"/>
    <w:rsid w:val="00B1799D"/>
    <w:rsid w:val="00C54354"/>
    <w:rsid w:val="00D87B82"/>
    <w:rsid w:val="00DD33E2"/>
    <w:rsid w:val="00DF6407"/>
    <w:rsid w:val="00E6125D"/>
    <w:rsid w:val="00EA2542"/>
    <w:rsid w:val="00FD15FE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4583E-A113-47EB-BF9B-525FFD14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8D"/>
    <w:pPr>
      <w:spacing w:after="160" w:line="259" w:lineRule="auto"/>
      <w:jc w:val="both"/>
    </w:pPr>
    <w:rPr>
      <w:rFonts w:ascii="Cambria" w:hAnsi="Cambria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637247"/>
    <w:pPr>
      <w:spacing w:before="120" w:after="120" w:line="240" w:lineRule="auto"/>
      <w:contextualSpacing/>
    </w:pPr>
    <w:rPr>
      <w:bCs/>
      <w:cap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Cancer Research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Maczynska</dc:creator>
  <cp:keywords/>
  <dc:description/>
  <cp:lastModifiedBy>Justyna Maczynska</cp:lastModifiedBy>
  <cp:revision>1</cp:revision>
  <dcterms:created xsi:type="dcterms:W3CDTF">2020-09-03T15:19:00Z</dcterms:created>
  <dcterms:modified xsi:type="dcterms:W3CDTF">2020-09-03T15:19:00Z</dcterms:modified>
</cp:coreProperties>
</file>