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2D9" w:rsidRDefault="00B422D9" w:rsidP="00B422D9">
      <w:pPr>
        <w:pStyle w:val="MDPI21heading1"/>
        <w:spacing w:before="0" w:after="0" w:line="480" w:lineRule="auto"/>
        <w:rPr>
          <w:rFonts w:ascii="Arial" w:hAnsi="Arial" w:cs="Arial"/>
          <w:b w:val="0"/>
        </w:rPr>
      </w:pPr>
      <w:r w:rsidRPr="002102BA">
        <w:rPr>
          <w:rFonts w:ascii="Arial" w:hAnsi="Arial" w:cs="Arial"/>
        </w:rPr>
        <w:t xml:space="preserve">Suppl. Fig. </w:t>
      </w:r>
      <w:r>
        <w:rPr>
          <w:rFonts w:ascii="Arial" w:hAnsi="Arial" w:cs="Arial"/>
        </w:rPr>
        <w:t>1</w:t>
      </w:r>
      <w:r w:rsidRPr="005045F0">
        <w:rPr>
          <w:rFonts w:ascii="Arial" w:hAnsi="Arial" w:cs="Arial"/>
        </w:rPr>
        <w:t xml:space="preserve"> Efficiency of CD44 silencing by stably expressed specific shRNAs.</w:t>
      </w:r>
      <w:r w:rsidRPr="002C57A8">
        <w:rPr>
          <w:rFonts w:ascii="Arial" w:hAnsi="Arial" w:cs="Arial"/>
          <w:b w:val="0"/>
        </w:rPr>
        <w:t xml:space="preserve"> </w:t>
      </w:r>
      <w:r>
        <w:rPr>
          <w:rFonts w:ascii="Arial" w:hAnsi="Arial" w:cs="Arial"/>
          <w:b w:val="0"/>
        </w:rPr>
        <w:t>(</w:t>
      </w:r>
      <w:r w:rsidRPr="00AE61EB">
        <w:rPr>
          <w:rFonts w:ascii="Arial" w:hAnsi="Arial" w:cs="Arial"/>
          <w:b w:val="0"/>
          <w:i/>
        </w:rPr>
        <w:t>left</w:t>
      </w:r>
      <w:r>
        <w:rPr>
          <w:rFonts w:ascii="Arial" w:hAnsi="Arial" w:cs="Arial"/>
          <w:b w:val="0"/>
        </w:rPr>
        <w:t xml:space="preserve">) </w:t>
      </w:r>
      <w:r w:rsidRPr="002C57A8">
        <w:rPr>
          <w:rFonts w:ascii="Arial" w:hAnsi="Arial" w:cs="Arial"/>
          <w:b w:val="0"/>
        </w:rPr>
        <w:t xml:space="preserve">Analysis (qPCR) of silencing efficiency of four CD44-shRNA sequences (A to D), compared to Control-shRNA sequence (V) in HLE and HLF cells following lentiviral transduction and puromycin selection for stable silencing of CD44 expression. GAPDH was used as housekeeping gene. qPCR data are normalized to Control-shRNA. </w:t>
      </w:r>
      <w:r>
        <w:rPr>
          <w:rFonts w:ascii="Arial" w:hAnsi="Arial" w:cs="Arial"/>
          <w:b w:val="0"/>
        </w:rPr>
        <w:t>(</w:t>
      </w:r>
      <w:r w:rsidRPr="00412E88">
        <w:rPr>
          <w:rFonts w:ascii="Arial" w:hAnsi="Arial" w:cs="Arial"/>
          <w:b w:val="0"/>
          <w:i/>
        </w:rPr>
        <w:t>right</w:t>
      </w:r>
      <w:r>
        <w:rPr>
          <w:rFonts w:ascii="Arial" w:hAnsi="Arial" w:cs="Arial"/>
          <w:b w:val="0"/>
        </w:rPr>
        <w:t xml:space="preserve">) Western blot (WB) showing the silencing efficiency of </w:t>
      </w:r>
      <w:r w:rsidRPr="002C57A8">
        <w:rPr>
          <w:rFonts w:ascii="Arial" w:hAnsi="Arial" w:cs="Arial"/>
          <w:b w:val="0"/>
        </w:rPr>
        <w:t>CD44-shRNA sequen</w:t>
      </w:r>
      <w:r>
        <w:rPr>
          <w:rFonts w:ascii="Arial" w:hAnsi="Arial" w:cs="Arial"/>
          <w:b w:val="0"/>
        </w:rPr>
        <w:t>ce B in HLF and HLE cells</w:t>
      </w:r>
      <w:r w:rsidR="00121519">
        <w:rPr>
          <w:rFonts w:ascii="Arial" w:hAnsi="Arial" w:cs="Arial"/>
          <w:b w:val="0"/>
        </w:rPr>
        <w:t>.</w:t>
      </w:r>
      <w:r w:rsidRPr="00AE61EB">
        <w:rPr>
          <w:rFonts w:ascii="Arial" w:hAnsi="Arial" w:cs="Arial"/>
          <w:b w:val="0"/>
        </w:rPr>
        <w:t xml:space="preserve"> </w:t>
      </w:r>
      <w:r w:rsidRPr="002C57A8">
        <w:rPr>
          <w:rFonts w:ascii="Arial" w:hAnsi="Arial" w:cs="Arial"/>
          <w:b w:val="0"/>
        </w:rPr>
        <w:t>GAPDH was used as housekeeping gene</w:t>
      </w:r>
      <w:r>
        <w:rPr>
          <w:rFonts w:ascii="Arial" w:hAnsi="Arial" w:cs="Arial"/>
          <w:b w:val="0"/>
        </w:rPr>
        <w:t>. V and B sequences were used in all subsequent experiments involving CD44</w:t>
      </w:r>
      <w:r w:rsidRPr="00AE61EB">
        <w:rPr>
          <w:rFonts w:ascii="Arial" w:hAnsi="Arial" w:cs="Arial"/>
          <w:b w:val="0"/>
        </w:rPr>
        <w:t xml:space="preserve"> </w:t>
      </w:r>
      <w:r>
        <w:rPr>
          <w:rFonts w:ascii="Arial" w:hAnsi="Arial" w:cs="Arial"/>
          <w:b w:val="0"/>
        </w:rPr>
        <w:t xml:space="preserve">silencing. </w:t>
      </w:r>
      <w:r w:rsidRPr="002C57A8">
        <w:rPr>
          <w:rFonts w:ascii="Arial" w:hAnsi="Arial" w:cs="Arial"/>
          <w:b w:val="0"/>
        </w:rPr>
        <w:t>Whole blot scans are shown in Supplementary Fig</w:t>
      </w:r>
      <w:r>
        <w:rPr>
          <w:rFonts w:ascii="Arial" w:hAnsi="Arial" w:cs="Arial"/>
          <w:b w:val="0"/>
        </w:rPr>
        <w:t>.</w:t>
      </w:r>
      <w:r w:rsidRPr="002C57A8">
        <w:rPr>
          <w:rFonts w:ascii="Arial" w:hAnsi="Arial" w:cs="Arial"/>
          <w:b w:val="0"/>
        </w:rPr>
        <w:t xml:space="preserve"> </w:t>
      </w:r>
      <w:r w:rsidR="004343C6">
        <w:rPr>
          <w:rFonts w:ascii="Arial" w:hAnsi="Arial" w:cs="Arial"/>
          <w:b w:val="0"/>
        </w:rPr>
        <w:t>5</w:t>
      </w:r>
      <w:r w:rsidRPr="002C57A8">
        <w:rPr>
          <w:rFonts w:ascii="Arial" w:hAnsi="Arial" w:cs="Arial"/>
          <w:b w:val="0"/>
        </w:rPr>
        <w:t>C.</w:t>
      </w:r>
    </w:p>
    <w:p w:rsidR="00B422D9" w:rsidRPr="002C57A8" w:rsidRDefault="00B422D9" w:rsidP="00B422D9">
      <w:pPr>
        <w:pStyle w:val="MDPI21heading1"/>
        <w:spacing w:before="0" w:after="0" w:line="480" w:lineRule="auto"/>
        <w:rPr>
          <w:rFonts w:ascii="Arial" w:hAnsi="Arial" w:cs="Arial"/>
          <w:b w:val="0"/>
        </w:rPr>
      </w:pPr>
    </w:p>
    <w:p w:rsidR="009C2B7B" w:rsidRPr="00282318" w:rsidRDefault="009C2B7B" w:rsidP="009C2B7B">
      <w:pPr>
        <w:pStyle w:val="MDPI21heading1"/>
        <w:spacing w:before="0" w:after="0" w:line="480" w:lineRule="auto"/>
        <w:rPr>
          <w:rFonts w:ascii="Arial" w:hAnsi="Arial" w:cs="Arial"/>
          <w:b w:val="0"/>
        </w:rPr>
      </w:pPr>
      <w:r w:rsidRPr="002102BA">
        <w:rPr>
          <w:rFonts w:ascii="Arial" w:hAnsi="Arial" w:cs="Arial"/>
        </w:rPr>
        <w:t xml:space="preserve">Suppl. Fig. </w:t>
      </w:r>
      <w:r w:rsidR="00B422D9">
        <w:rPr>
          <w:rFonts w:ascii="Arial" w:hAnsi="Arial" w:cs="Arial"/>
        </w:rPr>
        <w:t>2</w:t>
      </w:r>
      <w:r w:rsidRPr="005045F0">
        <w:rPr>
          <w:rFonts w:ascii="Arial" w:hAnsi="Arial" w:cs="Arial"/>
        </w:rPr>
        <w:t xml:space="preserve"> Immunophenotypic characterization of primary human HCC CAFs.</w:t>
      </w:r>
      <w:r w:rsidR="00282318">
        <w:rPr>
          <w:rFonts w:ascii="Arial" w:hAnsi="Arial" w:cs="Arial"/>
        </w:rPr>
        <w:t xml:space="preserve"> </w:t>
      </w:r>
      <w:r w:rsidR="00282318">
        <w:rPr>
          <w:rFonts w:ascii="Arial" w:hAnsi="Arial" w:cs="Arial"/>
          <w:b w:val="0"/>
        </w:rPr>
        <w:t>Immunofluorescence and flow cytometry analysis (scale bar: 50 µm)</w:t>
      </w:r>
      <w:r w:rsidR="00D11E76">
        <w:rPr>
          <w:rFonts w:ascii="Arial" w:hAnsi="Arial" w:cs="Arial"/>
          <w:b w:val="0"/>
        </w:rPr>
        <w:t>.</w:t>
      </w:r>
    </w:p>
    <w:p w:rsidR="00B422D9" w:rsidRDefault="00B422D9" w:rsidP="00B422D9">
      <w:pPr>
        <w:pStyle w:val="MDPI21heading1"/>
        <w:spacing w:before="0" w:after="0" w:line="480" w:lineRule="auto"/>
        <w:rPr>
          <w:rFonts w:ascii="Arial" w:hAnsi="Arial" w:cs="Arial"/>
        </w:rPr>
      </w:pPr>
    </w:p>
    <w:p w:rsidR="00B422D9" w:rsidRPr="002C57A8" w:rsidRDefault="00B422D9" w:rsidP="00B422D9">
      <w:pPr>
        <w:pStyle w:val="MDPI21heading1"/>
        <w:spacing w:before="0" w:after="0" w:line="480" w:lineRule="auto"/>
        <w:rPr>
          <w:rFonts w:ascii="Arial" w:hAnsi="Arial" w:cs="Arial"/>
          <w:b w:val="0"/>
        </w:rPr>
      </w:pPr>
      <w:r w:rsidRPr="002102BA">
        <w:rPr>
          <w:rFonts w:ascii="Arial" w:hAnsi="Arial" w:cs="Arial"/>
        </w:rPr>
        <w:t>Suppl</w:t>
      </w:r>
      <w:r w:rsidRPr="00765CAC">
        <w:rPr>
          <w:rFonts w:ascii="Arial" w:hAnsi="Arial" w:cs="Arial"/>
        </w:rPr>
        <w:t xml:space="preserve">. Fig. </w:t>
      </w:r>
      <w:r>
        <w:rPr>
          <w:rFonts w:ascii="Arial" w:hAnsi="Arial" w:cs="Arial"/>
        </w:rPr>
        <w:t>3</w:t>
      </w:r>
      <w:r w:rsidRPr="005045F0">
        <w:rPr>
          <w:rFonts w:ascii="Arial" w:hAnsi="Arial" w:cs="Arial"/>
        </w:rPr>
        <w:t xml:space="preserve"> Morphologic and immunophenotypic characterization of HLC19 primary HCC cells.</w:t>
      </w:r>
      <w:r w:rsidRPr="002C57A8">
        <w:rPr>
          <w:rFonts w:ascii="Arial" w:hAnsi="Arial" w:cs="Arial"/>
          <w:b w:val="0"/>
        </w:rPr>
        <w:t xml:space="preserve"> The expression of common epithelial-, mesenchymal-, and stemness-related markers is shown. Scale bar: 100 µm.</w:t>
      </w:r>
    </w:p>
    <w:p w:rsidR="00096FD3" w:rsidRPr="002C57A8" w:rsidRDefault="00096FD3" w:rsidP="00096FD3">
      <w:pPr>
        <w:pStyle w:val="MDPI21heading1"/>
        <w:spacing w:before="0" w:after="0" w:line="480" w:lineRule="auto"/>
        <w:rPr>
          <w:rFonts w:ascii="Arial" w:hAnsi="Arial" w:cs="Arial"/>
          <w:b w:val="0"/>
        </w:rPr>
      </w:pPr>
    </w:p>
    <w:p w:rsidR="0096061C" w:rsidRPr="005045F0" w:rsidRDefault="0096061C" w:rsidP="0096061C">
      <w:pPr>
        <w:pStyle w:val="MDPI21heading1"/>
        <w:spacing w:before="0" w:after="0" w:line="480" w:lineRule="auto"/>
        <w:rPr>
          <w:rFonts w:ascii="Arial" w:hAnsi="Arial" w:cs="Arial"/>
        </w:rPr>
      </w:pPr>
      <w:r w:rsidRPr="00765CAC">
        <w:rPr>
          <w:rFonts w:ascii="Arial" w:hAnsi="Arial" w:cs="Arial"/>
        </w:rPr>
        <w:t xml:space="preserve">Suppl. Fig. </w:t>
      </w:r>
      <w:r w:rsidR="00B422D9">
        <w:rPr>
          <w:rFonts w:ascii="Arial" w:hAnsi="Arial" w:cs="Arial"/>
        </w:rPr>
        <w:t>4</w:t>
      </w:r>
      <w:r w:rsidRPr="005045F0">
        <w:rPr>
          <w:rFonts w:ascii="Arial" w:hAnsi="Arial" w:cs="Arial"/>
        </w:rPr>
        <w:t xml:space="preserve"> Flow cytometry analysis of TLR2 and TLR4 expression in HCC cell lines.</w:t>
      </w:r>
    </w:p>
    <w:p w:rsidR="0096061C" w:rsidRPr="002C57A8" w:rsidRDefault="0096061C" w:rsidP="0096061C">
      <w:pPr>
        <w:pStyle w:val="MDPI21heading1"/>
        <w:spacing w:before="0" w:after="0" w:line="480" w:lineRule="auto"/>
        <w:rPr>
          <w:rFonts w:ascii="Arial" w:hAnsi="Arial" w:cs="Arial"/>
          <w:b w:val="0"/>
        </w:rPr>
      </w:pPr>
    </w:p>
    <w:p w:rsidR="0096061C" w:rsidRPr="005045F0" w:rsidRDefault="0096061C" w:rsidP="0096061C">
      <w:pPr>
        <w:pStyle w:val="MDPI21heading1"/>
        <w:spacing w:before="0" w:after="0" w:line="480" w:lineRule="auto"/>
        <w:rPr>
          <w:rFonts w:ascii="Arial" w:hAnsi="Arial" w:cs="Arial"/>
        </w:rPr>
      </w:pPr>
      <w:r w:rsidRPr="00B03D00">
        <w:rPr>
          <w:rFonts w:ascii="Arial" w:hAnsi="Arial" w:cs="Arial"/>
        </w:rPr>
        <w:t xml:space="preserve">Suppl. Fig. </w:t>
      </w:r>
      <w:r w:rsidR="00B422D9">
        <w:rPr>
          <w:rFonts w:ascii="Arial" w:hAnsi="Arial" w:cs="Arial"/>
        </w:rPr>
        <w:t>5</w:t>
      </w:r>
      <w:r w:rsidRPr="005045F0">
        <w:rPr>
          <w:rFonts w:ascii="Arial" w:hAnsi="Arial" w:cs="Arial"/>
        </w:rPr>
        <w:t xml:space="preserve"> Whole blot scans of Fig</w:t>
      </w:r>
      <w:r>
        <w:rPr>
          <w:rFonts w:ascii="Arial" w:hAnsi="Arial" w:cs="Arial"/>
        </w:rPr>
        <w:t>.</w:t>
      </w:r>
      <w:r w:rsidRPr="005045F0">
        <w:rPr>
          <w:rFonts w:ascii="Arial" w:hAnsi="Arial" w:cs="Arial"/>
        </w:rPr>
        <w:t xml:space="preserve"> 1</w:t>
      </w:r>
      <w:r w:rsidR="007E354E">
        <w:rPr>
          <w:rFonts w:ascii="Arial" w:hAnsi="Arial" w:cs="Arial"/>
        </w:rPr>
        <w:t>B</w:t>
      </w:r>
      <w:r w:rsidRPr="005045F0">
        <w:rPr>
          <w:rFonts w:ascii="Arial" w:hAnsi="Arial" w:cs="Arial"/>
        </w:rPr>
        <w:t xml:space="preserve"> (</w:t>
      </w:r>
      <w:r w:rsidRPr="00765CAC">
        <w:rPr>
          <w:rFonts w:ascii="Arial" w:hAnsi="Arial" w:cs="Arial"/>
        </w:rPr>
        <w:t>A</w:t>
      </w:r>
      <w:r w:rsidRPr="005045F0">
        <w:rPr>
          <w:rFonts w:ascii="Arial" w:hAnsi="Arial" w:cs="Arial"/>
        </w:rPr>
        <w:t>), 6</w:t>
      </w:r>
      <w:r w:rsidR="007E354E">
        <w:rPr>
          <w:rFonts w:ascii="Arial" w:hAnsi="Arial" w:cs="Arial"/>
        </w:rPr>
        <w:t>B</w:t>
      </w:r>
      <w:bookmarkStart w:id="0" w:name="_GoBack"/>
      <w:bookmarkEnd w:id="0"/>
      <w:r w:rsidRPr="005045F0">
        <w:rPr>
          <w:rFonts w:ascii="Arial" w:hAnsi="Arial" w:cs="Arial"/>
        </w:rPr>
        <w:t xml:space="preserve"> (</w:t>
      </w:r>
      <w:r w:rsidRPr="00765CAC">
        <w:rPr>
          <w:rFonts w:ascii="Arial" w:hAnsi="Arial" w:cs="Arial"/>
        </w:rPr>
        <w:t>B</w:t>
      </w:r>
      <w:r w:rsidRPr="005045F0">
        <w:rPr>
          <w:rFonts w:ascii="Arial" w:hAnsi="Arial" w:cs="Arial"/>
        </w:rPr>
        <w:t>), and Supplementary Fig</w:t>
      </w:r>
      <w:r>
        <w:rPr>
          <w:rFonts w:ascii="Arial" w:hAnsi="Arial" w:cs="Arial"/>
        </w:rPr>
        <w:t>.</w:t>
      </w:r>
      <w:r w:rsidRPr="005045F0">
        <w:rPr>
          <w:rFonts w:ascii="Arial" w:hAnsi="Arial" w:cs="Arial"/>
        </w:rPr>
        <w:t xml:space="preserve"> </w:t>
      </w:r>
      <w:r w:rsidR="00E4467B">
        <w:rPr>
          <w:rFonts w:ascii="Arial" w:hAnsi="Arial" w:cs="Arial"/>
        </w:rPr>
        <w:t>1</w:t>
      </w:r>
      <w:r w:rsidR="00C23B0B">
        <w:rPr>
          <w:rFonts w:ascii="Arial" w:hAnsi="Arial" w:cs="Arial"/>
        </w:rPr>
        <w:t xml:space="preserve"> (</w:t>
      </w:r>
      <w:r w:rsidRPr="00765CAC">
        <w:rPr>
          <w:rFonts w:ascii="Arial" w:hAnsi="Arial" w:cs="Arial"/>
        </w:rPr>
        <w:t>C</w:t>
      </w:r>
      <w:r w:rsidR="00C23B0B">
        <w:rPr>
          <w:rFonts w:ascii="Arial" w:hAnsi="Arial" w:cs="Arial"/>
        </w:rPr>
        <w:t>)</w:t>
      </w:r>
      <w:r w:rsidRPr="005045F0">
        <w:rPr>
          <w:rFonts w:ascii="Arial" w:hAnsi="Arial" w:cs="Arial"/>
        </w:rPr>
        <w:t>.</w:t>
      </w:r>
    </w:p>
    <w:p w:rsidR="00096FD3" w:rsidRDefault="00096FD3" w:rsidP="00096FD3">
      <w:pPr>
        <w:pStyle w:val="MDPI21heading1"/>
        <w:spacing w:before="0" w:after="0" w:line="480" w:lineRule="auto"/>
        <w:rPr>
          <w:rFonts w:ascii="Arial" w:hAnsi="Arial" w:cs="Arial"/>
          <w:b w:val="0"/>
        </w:rPr>
      </w:pPr>
    </w:p>
    <w:p w:rsidR="00096FD3" w:rsidRPr="005045F0" w:rsidRDefault="00096FD3" w:rsidP="00096FD3">
      <w:pPr>
        <w:pStyle w:val="MDPI21heading1"/>
        <w:spacing w:before="0" w:after="0" w:line="480" w:lineRule="auto"/>
        <w:rPr>
          <w:rFonts w:ascii="Arial" w:hAnsi="Arial" w:cs="Arial"/>
        </w:rPr>
      </w:pPr>
      <w:r w:rsidRPr="00B03D00">
        <w:rPr>
          <w:rFonts w:ascii="Arial" w:hAnsi="Arial" w:cs="Arial"/>
        </w:rPr>
        <w:t>Suppl</w:t>
      </w:r>
      <w:r w:rsidRPr="007B3141">
        <w:rPr>
          <w:rFonts w:ascii="Arial" w:hAnsi="Arial" w:cs="Arial"/>
        </w:rPr>
        <w:t xml:space="preserve">. </w:t>
      </w:r>
      <w:r w:rsidRPr="005045F0">
        <w:rPr>
          <w:rFonts w:ascii="Arial" w:hAnsi="Arial" w:cs="Arial"/>
        </w:rPr>
        <w:t>Table 1 Antibodies used.</w:t>
      </w:r>
    </w:p>
    <w:p w:rsidR="001C0460" w:rsidRPr="009C2B7B" w:rsidRDefault="001C0460">
      <w:pPr>
        <w:rPr>
          <w:lang w:val="en-US"/>
        </w:rPr>
      </w:pPr>
    </w:p>
    <w:p w:rsidR="0096061C" w:rsidRPr="0096061C" w:rsidRDefault="0096061C" w:rsidP="0096061C">
      <w:pPr>
        <w:pStyle w:val="MDPI21heading1"/>
        <w:spacing w:before="0" w:after="0" w:line="480" w:lineRule="auto"/>
        <w:rPr>
          <w:rFonts w:ascii="Arial" w:hAnsi="Arial" w:cs="Arial"/>
        </w:rPr>
      </w:pPr>
      <w:r w:rsidRPr="0096061C">
        <w:rPr>
          <w:rFonts w:ascii="Arial" w:hAnsi="Arial" w:cs="Arial"/>
        </w:rPr>
        <w:t xml:space="preserve">Suppl. Table </w:t>
      </w:r>
      <w:r>
        <w:rPr>
          <w:rFonts w:ascii="Arial" w:hAnsi="Arial" w:cs="Arial"/>
        </w:rPr>
        <w:t xml:space="preserve">2 </w:t>
      </w:r>
      <w:r w:rsidRPr="0096061C">
        <w:rPr>
          <w:rFonts w:ascii="Arial" w:hAnsi="Arial" w:cs="Arial"/>
        </w:rPr>
        <w:t xml:space="preserve">List of </w:t>
      </w:r>
      <w:r w:rsidR="00DD27A7" w:rsidRPr="002C57A8">
        <w:rPr>
          <w:rFonts w:ascii="Arial" w:hAnsi="Arial" w:cs="Arial"/>
        </w:rPr>
        <w:t>Real</w:t>
      </w:r>
      <w:r w:rsidR="00DD27A7" w:rsidRPr="00DD27A7">
        <w:rPr>
          <w:rFonts w:ascii="Arial" w:hAnsi="Arial" w:cs="Arial"/>
        </w:rPr>
        <w:t>-T</w:t>
      </w:r>
      <w:r w:rsidR="00DD27A7" w:rsidRPr="002C57A8">
        <w:rPr>
          <w:rFonts w:ascii="Arial" w:hAnsi="Arial" w:cs="Arial"/>
        </w:rPr>
        <w:t xml:space="preserve">ime </w:t>
      </w:r>
      <w:r w:rsidR="00DD27A7" w:rsidRPr="00DD27A7">
        <w:rPr>
          <w:rFonts w:ascii="Arial" w:hAnsi="Arial" w:cs="Arial"/>
        </w:rPr>
        <w:t>Polymerase Chain Reaction (qPCR) primers</w:t>
      </w:r>
      <w:r w:rsidR="00DD27A7">
        <w:rPr>
          <w:rFonts w:ascii="Arial" w:hAnsi="Arial" w:cs="Arial"/>
        </w:rPr>
        <w:t>.</w:t>
      </w:r>
    </w:p>
    <w:sectPr w:rsidR="0096061C" w:rsidRPr="0096061C">
      <w:headerReference w:type="even" r:id="rId6"/>
      <w:footerReference w:type="even" r:id="rId7"/>
      <w:footerReference w:type="default" r:id="rId8"/>
      <w:pgSz w:w="11906" w:h="16838"/>
      <w:pgMar w:top="1417" w:right="1531" w:bottom="1077" w:left="1531" w:header="1020" w:footer="850" w:gutter="0"/>
      <w:lnNumType w:countBy="1" w:distance="283" w:restart="continuous"/>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716" w:rsidRDefault="00A86716">
      <w:pPr>
        <w:spacing w:after="0" w:line="240" w:lineRule="auto"/>
      </w:pPr>
      <w:r>
        <w:separator/>
      </w:r>
    </w:p>
  </w:endnote>
  <w:endnote w:type="continuationSeparator" w:id="0">
    <w:p w:rsidR="00A86716" w:rsidRDefault="00A8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101" w:rsidRDefault="00096FD3">
    <w:pPr>
      <w:pStyle w:val="Pidipagina"/>
      <w:jc w:val="center"/>
    </w:pPr>
    <w:r>
      <w:fldChar w:fldCharType="begin"/>
    </w:r>
    <w:r>
      <w:instrText xml:space="preserve"> PAGE </w:instrText>
    </w:r>
    <w:r>
      <w:fldChar w:fldCharType="separate"/>
    </w:r>
    <w:r>
      <w:rPr>
        <w:noProof/>
      </w:rPr>
      <w:t>22</w:t>
    </w:r>
    <w:r>
      <w:fldChar w:fldCharType="end"/>
    </w:r>
  </w:p>
  <w:p w:rsidR="00F30101" w:rsidRDefault="00A86716">
    <w:pPr>
      <w:pStyle w:val="Pidipagina"/>
      <w:spacing w:line="100" w:lineRule="atLeas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101" w:rsidRDefault="00096FD3">
    <w:pPr>
      <w:pStyle w:val="Pidipagina"/>
      <w:jc w:val="center"/>
    </w:pPr>
    <w:r>
      <w:fldChar w:fldCharType="begin"/>
    </w:r>
    <w:r>
      <w:instrText xml:space="preserve"> PAGE </w:instrText>
    </w:r>
    <w:r>
      <w:fldChar w:fldCharType="separate"/>
    </w:r>
    <w:r w:rsidR="007E354E">
      <w:rPr>
        <w:noProof/>
      </w:rPr>
      <w:t>1</w:t>
    </w:r>
    <w:r>
      <w:fldChar w:fldCharType="end"/>
    </w:r>
  </w:p>
  <w:p w:rsidR="00F30101" w:rsidRDefault="00A86716">
    <w:pPr>
      <w:pStyle w:val="Pidipagina"/>
      <w:spacing w:line="10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716" w:rsidRDefault="00A86716">
      <w:pPr>
        <w:spacing w:after="0" w:line="240" w:lineRule="auto"/>
      </w:pPr>
      <w:r>
        <w:separator/>
      </w:r>
    </w:p>
  </w:footnote>
  <w:footnote w:type="continuationSeparator" w:id="0">
    <w:p w:rsidR="00A86716" w:rsidRDefault="00A86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101" w:rsidRDefault="00A86716">
    <w:pPr>
      <w:pStyle w:val="Intestazione"/>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FF"/>
    <w:rsid w:val="00096FD3"/>
    <w:rsid w:val="00121519"/>
    <w:rsid w:val="00150A64"/>
    <w:rsid w:val="001C0460"/>
    <w:rsid w:val="00282318"/>
    <w:rsid w:val="004155A7"/>
    <w:rsid w:val="004343C6"/>
    <w:rsid w:val="00497FDA"/>
    <w:rsid w:val="007E354E"/>
    <w:rsid w:val="00923093"/>
    <w:rsid w:val="0096061C"/>
    <w:rsid w:val="0096514E"/>
    <w:rsid w:val="00990CFF"/>
    <w:rsid w:val="009C2B7B"/>
    <w:rsid w:val="00A223CC"/>
    <w:rsid w:val="00A649C6"/>
    <w:rsid w:val="00A70B4F"/>
    <w:rsid w:val="00A86716"/>
    <w:rsid w:val="00B422D9"/>
    <w:rsid w:val="00C23B0B"/>
    <w:rsid w:val="00D11E76"/>
    <w:rsid w:val="00D64A96"/>
    <w:rsid w:val="00DD27A7"/>
    <w:rsid w:val="00E4467B"/>
    <w:rsid w:val="00FE14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7F3AF"/>
  <w15:chartTrackingRefBased/>
  <w15:docId w15:val="{1FBCD372-2F7F-4961-93A3-0F54D236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Helvetica"/>
        <w:color w:val="333333"/>
        <w:kern w:val="36"/>
        <w:sz w:val="24"/>
        <w:szCs w:val="24"/>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155A7"/>
  </w:style>
  <w:style w:type="paragraph" w:styleId="Titolo1">
    <w:name w:val="heading 1"/>
    <w:basedOn w:val="Normale"/>
    <w:link w:val="Titolo1Carattere"/>
    <w:uiPriority w:val="9"/>
    <w:qFormat/>
    <w:rsid w:val="004155A7"/>
    <w:pPr>
      <w:spacing w:before="100" w:beforeAutospacing="1" w:after="100" w:afterAutospacing="1" w:line="240" w:lineRule="auto"/>
      <w:outlineLvl w:val="0"/>
    </w:pPr>
    <w:rPr>
      <w:rFonts w:ascii="Times New Roman" w:eastAsia="Times New Roman" w:hAnsi="Times New Roman" w:cs="Times New Roman"/>
      <w:b/>
      <w:bCs/>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55A7"/>
    <w:rPr>
      <w:rFonts w:ascii="Times New Roman" w:eastAsia="Times New Roman" w:hAnsi="Times New Roman" w:cs="Times New Roman"/>
      <w:b/>
      <w:bCs/>
      <w:sz w:val="48"/>
      <w:szCs w:val="48"/>
      <w:lang w:eastAsia="it-IT"/>
    </w:rPr>
  </w:style>
  <w:style w:type="paragraph" w:styleId="Pidipagina">
    <w:name w:val="footer"/>
    <w:basedOn w:val="Normale"/>
    <w:link w:val="PidipaginaCarattere"/>
    <w:rsid w:val="00096FD3"/>
    <w:pPr>
      <w:suppressLineNumbers/>
      <w:tabs>
        <w:tab w:val="center" w:pos="4153"/>
        <w:tab w:val="right" w:pos="8306"/>
      </w:tabs>
      <w:suppressAutoHyphens/>
      <w:spacing w:after="0" w:line="240" w:lineRule="atLeast"/>
      <w:jc w:val="both"/>
    </w:pPr>
    <w:rPr>
      <w:rFonts w:ascii="Times New Roman" w:eastAsia="Times New Roman" w:hAnsi="Times New Roman" w:cs="Times New Roman"/>
      <w:color w:val="000000"/>
      <w:kern w:val="1"/>
      <w:sz w:val="18"/>
      <w:szCs w:val="18"/>
      <w:lang w:val="en-US" w:eastAsia="ar-SA"/>
    </w:rPr>
  </w:style>
  <w:style w:type="character" w:customStyle="1" w:styleId="PidipaginaCarattere">
    <w:name w:val="Piè di pagina Carattere"/>
    <w:basedOn w:val="Carpredefinitoparagrafo"/>
    <w:link w:val="Pidipagina"/>
    <w:rsid w:val="00096FD3"/>
    <w:rPr>
      <w:rFonts w:ascii="Times New Roman" w:eastAsia="Times New Roman" w:hAnsi="Times New Roman" w:cs="Times New Roman"/>
      <w:color w:val="000000"/>
      <w:kern w:val="1"/>
      <w:sz w:val="18"/>
      <w:szCs w:val="18"/>
      <w:lang w:val="en-US" w:eastAsia="ar-SA"/>
    </w:rPr>
  </w:style>
  <w:style w:type="paragraph" w:styleId="Intestazione">
    <w:name w:val="header"/>
    <w:basedOn w:val="Normale"/>
    <w:link w:val="IntestazioneCarattere"/>
    <w:rsid w:val="00096FD3"/>
    <w:pPr>
      <w:suppressLineNumbers/>
      <w:pBdr>
        <w:bottom w:val="single" w:sz="4" w:space="1" w:color="000000"/>
      </w:pBdr>
      <w:tabs>
        <w:tab w:val="center" w:pos="4153"/>
        <w:tab w:val="right" w:pos="8306"/>
      </w:tabs>
      <w:suppressAutoHyphens/>
      <w:spacing w:after="0" w:line="240" w:lineRule="atLeast"/>
      <w:jc w:val="center"/>
    </w:pPr>
    <w:rPr>
      <w:rFonts w:ascii="Times New Roman" w:eastAsia="Times New Roman" w:hAnsi="Times New Roman" w:cs="Times New Roman"/>
      <w:color w:val="000000"/>
      <w:kern w:val="1"/>
      <w:sz w:val="18"/>
      <w:szCs w:val="18"/>
      <w:lang w:val="en-US" w:eastAsia="ar-SA"/>
    </w:rPr>
  </w:style>
  <w:style w:type="character" w:customStyle="1" w:styleId="IntestazioneCarattere">
    <w:name w:val="Intestazione Carattere"/>
    <w:basedOn w:val="Carpredefinitoparagrafo"/>
    <w:link w:val="Intestazione"/>
    <w:rsid w:val="00096FD3"/>
    <w:rPr>
      <w:rFonts w:ascii="Times New Roman" w:eastAsia="Times New Roman" w:hAnsi="Times New Roman" w:cs="Times New Roman"/>
      <w:color w:val="000000"/>
      <w:kern w:val="1"/>
      <w:sz w:val="18"/>
      <w:szCs w:val="18"/>
      <w:lang w:val="en-US" w:eastAsia="ar-SA"/>
    </w:rPr>
  </w:style>
  <w:style w:type="paragraph" w:customStyle="1" w:styleId="MDPI21heading1">
    <w:name w:val="MDPI_2.1_heading1"/>
    <w:basedOn w:val="Normale"/>
    <w:rsid w:val="00096FD3"/>
    <w:pPr>
      <w:suppressAutoHyphens/>
      <w:spacing w:before="240" w:after="120" w:line="260" w:lineRule="atLeast"/>
    </w:pPr>
    <w:rPr>
      <w:rFonts w:ascii="Palatino Linotype" w:eastAsia="Times New Roman" w:hAnsi="Palatino Linotype" w:cs="Times New Roman"/>
      <w:b/>
      <w:color w:val="000000"/>
      <w:kern w:val="1"/>
      <w:sz w:val="20"/>
      <w:szCs w:val="22"/>
      <w:lang w:val="en-US" w:bidi="en-US"/>
    </w:rPr>
  </w:style>
  <w:style w:type="character" w:styleId="Numeroriga">
    <w:name w:val="line number"/>
    <w:basedOn w:val="Carpredefinitoparagrafo"/>
    <w:uiPriority w:val="99"/>
    <w:semiHidden/>
    <w:unhideWhenUsed/>
    <w:rsid w:val="00096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195</Words>
  <Characters>1117</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Dituri</dc:creator>
  <cp:keywords/>
  <dc:description/>
  <cp:lastModifiedBy>Francesco Dituri</cp:lastModifiedBy>
  <cp:revision>14</cp:revision>
  <dcterms:created xsi:type="dcterms:W3CDTF">2020-10-07T14:17:00Z</dcterms:created>
  <dcterms:modified xsi:type="dcterms:W3CDTF">2020-10-14T15:03:00Z</dcterms:modified>
</cp:coreProperties>
</file>