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60AE16" w14:textId="77777777" w:rsidR="008F624E" w:rsidRPr="00B9734E" w:rsidRDefault="008F624E" w:rsidP="008F624E">
      <w:pPr>
        <w:pStyle w:val="NormalWeb"/>
        <w:spacing w:before="240" w:beforeAutospacing="0" w:after="0" w:afterAutospacing="0"/>
        <w:jc w:val="both"/>
        <w:rPr>
          <w:lang w:val="en-GB"/>
        </w:rPr>
      </w:pPr>
      <w:r w:rsidRPr="00B9734E">
        <w:rPr>
          <w:rFonts w:ascii="Arial" w:hAnsi="Arial" w:cs="Arial"/>
          <w:b/>
          <w:bCs/>
          <w:color w:val="000000"/>
          <w:sz w:val="28"/>
          <w:szCs w:val="28"/>
          <w:lang w:val="en-GB"/>
        </w:rPr>
        <w:t>Corticotropin Releasing Hormone (CRH) alters mitochondrial morphology and function by activating the NF-kB-DRP1 axis in hippocampal neurons</w:t>
      </w:r>
    </w:p>
    <w:p w14:paraId="11036294" w14:textId="77777777" w:rsidR="008F624E" w:rsidRPr="00B9734E" w:rsidRDefault="008F624E" w:rsidP="008F624E">
      <w:pPr>
        <w:pStyle w:val="NormalWeb"/>
        <w:spacing w:before="240" w:beforeAutospacing="0" w:after="0" w:afterAutospacing="0"/>
        <w:jc w:val="both"/>
        <w:rPr>
          <w:lang w:val="en-GB"/>
        </w:rPr>
      </w:pPr>
      <w:r w:rsidRPr="00B9734E">
        <w:rPr>
          <w:color w:val="000000"/>
          <w:lang w:val="en-GB"/>
        </w:rPr>
        <w:t> </w:t>
      </w:r>
    </w:p>
    <w:p w14:paraId="49E98069" w14:textId="77777777" w:rsidR="008F624E" w:rsidRDefault="008F624E" w:rsidP="008F624E">
      <w:pPr>
        <w:pStyle w:val="NormalWeb"/>
        <w:spacing w:before="240" w:beforeAutospacing="0" w:after="220" w:afterAutospacing="0" w:line="480" w:lineRule="auto"/>
        <w:jc w:val="both"/>
      </w:pPr>
      <w:r>
        <w:rPr>
          <w:rFonts w:ascii="Arial" w:hAnsi="Arial" w:cs="Arial"/>
          <w:color w:val="000000"/>
        </w:rPr>
        <w:t>Chiara R Battaglia</w:t>
      </w:r>
      <w:r w:rsidRPr="00B9734E">
        <w:rPr>
          <w:rFonts w:ascii="Arial" w:hAnsi="Arial" w:cs="Arial"/>
          <w:color w:val="000000"/>
          <w:vertAlign w:val="superscript"/>
        </w:rPr>
        <w:t>1,2</w:t>
      </w:r>
      <w:r>
        <w:rPr>
          <w:rFonts w:ascii="Arial" w:hAnsi="Arial" w:cs="Arial"/>
          <w:color w:val="000000"/>
        </w:rPr>
        <w:t>, Silvia Cursano</w:t>
      </w:r>
      <w:r w:rsidRPr="00B9734E">
        <w:rPr>
          <w:rFonts w:ascii="Arial" w:hAnsi="Arial" w:cs="Arial"/>
          <w:color w:val="000000"/>
          <w:vertAlign w:val="superscript"/>
        </w:rPr>
        <w:t>1,2</w:t>
      </w:r>
      <w:r>
        <w:rPr>
          <w:rFonts w:ascii="Arial" w:hAnsi="Arial" w:cs="Arial"/>
          <w:color w:val="000000"/>
        </w:rPr>
        <w:t>, Enrico Calzia</w:t>
      </w:r>
      <w:r w:rsidRPr="00B9734E">
        <w:rPr>
          <w:rFonts w:ascii="Arial" w:hAnsi="Arial" w:cs="Arial"/>
          <w:color w:val="000000"/>
          <w:vertAlign w:val="superscript"/>
        </w:rPr>
        <w:t>3</w:t>
      </w:r>
      <w:r>
        <w:rPr>
          <w:rFonts w:ascii="Arial" w:hAnsi="Arial" w:cs="Arial"/>
          <w:color w:val="000000"/>
        </w:rPr>
        <w:t>, Alberto Catanese</w:t>
      </w:r>
      <w:r w:rsidRPr="00B9734E">
        <w:rPr>
          <w:rFonts w:ascii="Arial" w:hAnsi="Arial" w:cs="Arial"/>
          <w:color w:val="000000"/>
          <w:vertAlign w:val="superscript"/>
        </w:rPr>
        <w:t>1</w:t>
      </w:r>
      <w:r>
        <w:rPr>
          <w:rFonts w:ascii="Arial" w:hAnsi="Arial" w:cs="Arial"/>
          <w:color w:val="000000"/>
        </w:rPr>
        <w:t xml:space="preserve">, </w:t>
      </w:r>
      <w:proofErr w:type="spellStart"/>
      <w:r>
        <w:rPr>
          <w:rFonts w:ascii="Arial" w:hAnsi="Arial" w:cs="Arial"/>
          <w:color w:val="000000"/>
        </w:rPr>
        <w:t>Tobias</w:t>
      </w:r>
      <w:proofErr w:type="spellEnd"/>
      <w:r>
        <w:rPr>
          <w:rFonts w:ascii="Arial" w:hAnsi="Arial" w:cs="Arial"/>
          <w:color w:val="000000"/>
        </w:rPr>
        <w:t xml:space="preserve"> M </w:t>
      </w:r>
      <w:proofErr w:type="spellStart"/>
      <w:r>
        <w:rPr>
          <w:rFonts w:ascii="Arial" w:hAnsi="Arial" w:cs="Arial"/>
          <w:color w:val="000000"/>
        </w:rPr>
        <w:t>Boeckers</w:t>
      </w:r>
      <w:proofErr w:type="spellEnd"/>
      <w:r>
        <w:rPr>
          <w:rFonts w:ascii="Arial" w:hAnsi="Arial" w:cs="Arial"/>
          <w:color w:val="000000"/>
        </w:rPr>
        <w:t xml:space="preserve"> </w:t>
      </w:r>
      <w:r w:rsidRPr="00B9734E">
        <w:rPr>
          <w:rFonts w:ascii="Arial" w:hAnsi="Arial" w:cs="Arial"/>
          <w:color w:val="000000"/>
          <w:vertAlign w:val="superscript"/>
        </w:rPr>
        <w:t>1,4</w:t>
      </w:r>
    </w:p>
    <w:p w14:paraId="1DF02246" w14:textId="77777777" w:rsidR="008F624E" w:rsidRPr="00B9734E" w:rsidRDefault="008F624E" w:rsidP="008F624E">
      <w:pPr>
        <w:pStyle w:val="NormalWeb"/>
        <w:spacing w:before="240" w:beforeAutospacing="0" w:after="220" w:afterAutospacing="0" w:line="480" w:lineRule="auto"/>
        <w:jc w:val="both"/>
        <w:rPr>
          <w:lang w:val="en-GB"/>
        </w:rPr>
      </w:pPr>
      <w:r w:rsidRPr="00B9734E">
        <w:rPr>
          <w:rFonts w:ascii="Arial" w:hAnsi="Arial" w:cs="Arial"/>
          <w:color w:val="000000"/>
          <w:lang w:val="en-GB"/>
        </w:rPr>
        <w:t>Affiliation:</w:t>
      </w:r>
      <w:r>
        <w:rPr>
          <w:rFonts w:ascii="Arial" w:hAnsi="Arial" w:cs="Arial"/>
          <w:color w:val="000000"/>
          <w:lang w:val="en-GB"/>
        </w:rPr>
        <w:t xml:space="preserve"> </w:t>
      </w:r>
      <w:r w:rsidRPr="00563752">
        <w:rPr>
          <w:rFonts w:ascii="Arial" w:hAnsi="Arial" w:cs="Arial"/>
          <w:color w:val="000000"/>
          <w:vertAlign w:val="superscript"/>
          <w:lang w:val="en-GB"/>
        </w:rPr>
        <w:t>1</w:t>
      </w:r>
      <w:r w:rsidRPr="00B9734E">
        <w:rPr>
          <w:rFonts w:ascii="Arial" w:hAnsi="Arial" w:cs="Arial"/>
          <w:color w:val="000000"/>
          <w:lang w:val="en-GB"/>
        </w:rPr>
        <w:t xml:space="preserve"> Institute of Anatomy and Cell Biology, Ulm University, Ulm (Germany)</w:t>
      </w:r>
    </w:p>
    <w:p w14:paraId="205FA103" w14:textId="77777777" w:rsidR="008F624E" w:rsidRPr="00B9734E" w:rsidRDefault="008F624E" w:rsidP="008F624E">
      <w:pPr>
        <w:pStyle w:val="NormalWeb"/>
        <w:spacing w:before="0" w:beforeAutospacing="0" w:after="220" w:afterAutospacing="0" w:line="480" w:lineRule="auto"/>
        <w:ind w:left="1000"/>
        <w:jc w:val="both"/>
        <w:rPr>
          <w:lang w:val="en-GB"/>
        </w:rPr>
      </w:pPr>
      <w:r>
        <w:rPr>
          <w:rFonts w:ascii="Arial" w:hAnsi="Arial" w:cs="Arial"/>
          <w:color w:val="000000"/>
          <w:vertAlign w:val="superscript"/>
          <w:lang w:val="en-GB"/>
        </w:rPr>
        <w:t xml:space="preserve"> </w:t>
      </w:r>
      <w:r w:rsidRPr="00563752">
        <w:rPr>
          <w:rFonts w:ascii="Arial" w:hAnsi="Arial" w:cs="Arial"/>
          <w:color w:val="000000"/>
          <w:vertAlign w:val="superscript"/>
          <w:lang w:val="en-GB"/>
        </w:rPr>
        <w:t>2</w:t>
      </w:r>
      <w:r w:rsidRPr="00B9734E">
        <w:rPr>
          <w:rFonts w:ascii="Arial" w:hAnsi="Arial" w:cs="Arial"/>
          <w:color w:val="000000"/>
          <w:lang w:val="en-GB"/>
        </w:rPr>
        <w:t xml:space="preserve"> International Graduate School, Ulm University, Ulm (Germany)</w:t>
      </w:r>
    </w:p>
    <w:p w14:paraId="0FB0B1CE" w14:textId="77777777" w:rsidR="008F624E" w:rsidRPr="00B9734E" w:rsidRDefault="008F624E" w:rsidP="008F624E">
      <w:pPr>
        <w:pStyle w:val="NormalWeb"/>
        <w:spacing w:before="0" w:beforeAutospacing="0" w:after="220" w:afterAutospacing="0" w:line="480" w:lineRule="auto"/>
        <w:ind w:left="1000"/>
        <w:jc w:val="both"/>
        <w:rPr>
          <w:lang w:val="en-GB"/>
        </w:rPr>
      </w:pPr>
      <w:r>
        <w:rPr>
          <w:rFonts w:ascii="Arial" w:hAnsi="Arial" w:cs="Arial"/>
          <w:color w:val="000000"/>
          <w:vertAlign w:val="superscript"/>
          <w:lang w:val="en-GB"/>
        </w:rPr>
        <w:t xml:space="preserve"> </w:t>
      </w:r>
      <w:r w:rsidRPr="00563752">
        <w:rPr>
          <w:rFonts w:ascii="Arial" w:hAnsi="Arial" w:cs="Arial"/>
          <w:color w:val="000000"/>
          <w:vertAlign w:val="superscript"/>
          <w:lang w:val="en-GB"/>
        </w:rPr>
        <w:t>3</w:t>
      </w:r>
      <w:r w:rsidRPr="00B9734E">
        <w:rPr>
          <w:rFonts w:ascii="Arial" w:hAnsi="Arial" w:cs="Arial"/>
          <w:color w:val="000000"/>
          <w:lang w:val="en-GB"/>
        </w:rPr>
        <w:t xml:space="preserve"> </w:t>
      </w:r>
      <w:r w:rsidRPr="00B9734E">
        <w:rPr>
          <w:rFonts w:ascii="Arial" w:hAnsi="Arial" w:cs="Arial"/>
          <w:color w:val="000000"/>
          <w:shd w:val="clear" w:color="auto" w:fill="FFFFFF"/>
          <w:lang w:val="en-GB"/>
        </w:rPr>
        <w:t xml:space="preserve">Institute for </w:t>
      </w:r>
      <w:proofErr w:type="spellStart"/>
      <w:r w:rsidRPr="00B9734E">
        <w:rPr>
          <w:rFonts w:ascii="Arial" w:hAnsi="Arial" w:cs="Arial"/>
          <w:color w:val="000000"/>
          <w:shd w:val="clear" w:color="auto" w:fill="FFFFFF"/>
          <w:lang w:val="en-GB"/>
        </w:rPr>
        <w:t>Anesthesiologic</w:t>
      </w:r>
      <w:proofErr w:type="spellEnd"/>
      <w:r w:rsidRPr="00B9734E">
        <w:rPr>
          <w:rFonts w:ascii="Arial" w:hAnsi="Arial" w:cs="Arial"/>
          <w:color w:val="000000"/>
          <w:shd w:val="clear" w:color="auto" w:fill="FFFFFF"/>
          <w:lang w:val="en-GB"/>
        </w:rPr>
        <w:t xml:space="preserve"> Pathophysiology and Process Engineering, Ulm University, Ulm, Germany</w:t>
      </w:r>
    </w:p>
    <w:p w14:paraId="08A1EAC8" w14:textId="77777777" w:rsidR="008F624E" w:rsidRPr="00B9734E" w:rsidRDefault="008F624E" w:rsidP="008F624E">
      <w:pPr>
        <w:pStyle w:val="NormalWeb"/>
        <w:spacing w:before="0" w:beforeAutospacing="0" w:after="220" w:afterAutospacing="0" w:line="480" w:lineRule="auto"/>
        <w:ind w:left="1000"/>
        <w:jc w:val="both"/>
        <w:rPr>
          <w:lang w:val="en-GB"/>
        </w:rPr>
      </w:pPr>
      <w:r>
        <w:rPr>
          <w:rFonts w:ascii="Arial" w:hAnsi="Arial" w:cs="Arial"/>
          <w:color w:val="000000"/>
          <w:vertAlign w:val="superscript"/>
          <w:lang w:val="en-GB"/>
        </w:rPr>
        <w:t xml:space="preserve"> </w:t>
      </w:r>
      <w:r w:rsidRPr="00563752">
        <w:rPr>
          <w:rFonts w:ascii="Arial" w:hAnsi="Arial" w:cs="Arial"/>
          <w:color w:val="000000"/>
          <w:vertAlign w:val="superscript"/>
          <w:lang w:val="en-GB"/>
        </w:rPr>
        <w:t xml:space="preserve">4 </w:t>
      </w:r>
      <w:r w:rsidRPr="00B9734E">
        <w:rPr>
          <w:rFonts w:ascii="Arial" w:hAnsi="Arial" w:cs="Arial"/>
          <w:color w:val="000000"/>
          <w:lang w:val="en-GB"/>
        </w:rPr>
        <w:t>DZNE, Ulm site, Ulm, Germany </w:t>
      </w:r>
    </w:p>
    <w:p w14:paraId="46B89DF3" w14:textId="77777777" w:rsidR="008F624E" w:rsidRPr="00B9734E" w:rsidRDefault="008F624E" w:rsidP="008F624E">
      <w:pPr>
        <w:pStyle w:val="NormalWeb"/>
        <w:spacing w:before="240" w:beforeAutospacing="0" w:after="0" w:afterAutospacing="0"/>
        <w:jc w:val="both"/>
        <w:rPr>
          <w:lang w:val="en-GB"/>
        </w:rPr>
      </w:pPr>
      <w:r w:rsidRPr="00B9734E">
        <w:rPr>
          <w:color w:val="000000"/>
          <w:lang w:val="en-GB"/>
        </w:rPr>
        <w:t> </w:t>
      </w:r>
    </w:p>
    <w:p w14:paraId="33903BF5" w14:textId="77777777" w:rsidR="008F624E" w:rsidRPr="00B9734E" w:rsidRDefault="008F624E" w:rsidP="008F624E">
      <w:pPr>
        <w:pStyle w:val="NormalWeb"/>
        <w:spacing w:before="240" w:beforeAutospacing="0" w:after="220" w:afterAutospacing="0" w:line="480" w:lineRule="auto"/>
        <w:jc w:val="both"/>
        <w:rPr>
          <w:lang w:val="en-GB"/>
        </w:rPr>
      </w:pPr>
      <w:r w:rsidRPr="00B9734E">
        <w:rPr>
          <w:rFonts w:ascii="Arial" w:hAnsi="Arial" w:cs="Arial"/>
          <w:color w:val="000000"/>
          <w:lang w:val="en-GB"/>
        </w:rPr>
        <w:t xml:space="preserve">Corresponding Authors: Prof. </w:t>
      </w:r>
      <w:proofErr w:type="spellStart"/>
      <w:r w:rsidRPr="00B9734E">
        <w:rPr>
          <w:rFonts w:ascii="Arial" w:hAnsi="Arial" w:cs="Arial"/>
          <w:color w:val="000000"/>
          <w:lang w:val="en-GB"/>
        </w:rPr>
        <w:t>Dr.</w:t>
      </w:r>
      <w:proofErr w:type="spellEnd"/>
      <w:r w:rsidRPr="00B9734E">
        <w:rPr>
          <w:rFonts w:ascii="Arial" w:hAnsi="Arial" w:cs="Arial"/>
          <w:color w:val="000000"/>
          <w:lang w:val="en-GB"/>
        </w:rPr>
        <w:t xml:space="preserve"> Tobias </w:t>
      </w:r>
      <w:proofErr w:type="spellStart"/>
      <w:r w:rsidRPr="00B9734E">
        <w:rPr>
          <w:rFonts w:ascii="Arial" w:hAnsi="Arial" w:cs="Arial"/>
          <w:color w:val="000000"/>
          <w:lang w:val="en-GB"/>
        </w:rPr>
        <w:t>Böckers</w:t>
      </w:r>
      <w:proofErr w:type="spellEnd"/>
      <w:r w:rsidRPr="00B9734E">
        <w:rPr>
          <w:rFonts w:ascii="Arial" w:hAnsi="Arial" w:cs="Arial"/>
          <w:color w:val="000000"/>
          <w:lang w:val="en-GB"/>
        </w:rPr>
        <w:t xml:space="preserve">, </w:t>
      </w:r>
      <w:proofErr w:type="spellStart"/>
      <w:r w:rsidRPr="00B9734E">
        <w:rPr>
          <w:rFonts w:ascii="Arial" w:hAnsi="Arial" w:cs="Arial"/>
          <w:color w:val="000000"/>
          <w:lang w:val="en-GB"/>
        </w:rPr>
        <w:t>Dr.</w:t>
      </w:r>
      <w:proofErr w:type="spellEnd"/>
      <w:r w:rsidRPr="00B9734E">
        <w:rPr>
          <w:rFonts w:ascii="Arial" w:hAnsi="Arial" w:cs="Arial"/>
          <w:color w:val="000000"/>
          <w:lang w:val="en-GB"/>
        </w:rPr>
        <w:t xml:space="preserve"> Alberto </w:t>
      </w:r>
      <w:proofErr w:type="spellStart"/>
      <w:r w:rsidRPr="00B9734E">
        <w:rPr>
          <w:rFonts w:ascii="Arial" w:hAnsi="Arial" w:cs="Arial"/>
          <w:color w:val="000000"/>
          <w:lang w:val="en-GB"/>
        </w:rPr>
        <w:t>Catanese</w:t>
      </w:r>
      <w:proofErr w:type="spellEnd"/>
      <w:r w:rsidRPr="00B9734E">
        <w:rPr>
          <w:rFonts w:ascii="Arial" w:hAnsi="Arial" w:cs="Arial"/>
          <w:color w:val="000000"/>
          <w:lang w:val="en-GB"/>
        </w:rPr>
        <w:t>, </w:t>
      </w:r>
    </w:p>
    <w:p w14:paraId="3F590730" w14:textId="77777777" w:rsidR="008F624E" w:rsidRPr="00B9734E" w:rsidRDefault="008F624E" w:rsidP="008F624E">
      <w:pPr>
        <w:pStyle w:val="NormalWeb"/>
        <w:spacing w:before="240" w:beforeAutospacing="0" w:after="220" w:afterAutospacing="0" w:line="480" w:lineRule="auto"/>
        <w:jc w:val="both"/>
        <w:rPr>
          <w:lang w:val="en-GB"/>
        </w:rPr>
      </w:pPr>
      <w:r w:rsidRPr="00B9734E">
        <w:rPr>
          <w:rFonts w:ascii="Arial" w:hAnsi="Arial" w:cs="Arial"/>
          <w:color w:val="000000"/>
          <w:lang w:val="en-GB"/>
        </w:rPr>
        <w:t>Institute of Anatomy and Cell Biology,</w:t>
      </w:r>
    </w:p>
    <w:p w14:paraId="55758677" w14:textId="77777777" w:rsidR="008F624E" w:rsidRPr="00473719" w:rsidRDefault="008F624E" w:rsidP="008F624E">
      <w:pPr>
        <w:pStyle w:val="NormalWeb"/>
        <w:spacing w:before="240" w:beforeAutospacing="0" w:after="220" w:afterAutospacing="0" w:line="480" w:lineRule="auto"/>
        <w:jc w:val="both"/>
        <w:rPr>
          <w:lang w:val="de-DE"/>
        </w:rPr>
      </w:pPr>
      <w:r w:rsidRPr="00473719">
        <w:rPr>
          <w:rFonts w:ascii="Arial" w:hAnsi="Arial" w:cs="Arial"/>
          <w:color w:val="000000"/>
          <w:lang w:val="de-DE"/>
        </w:rPr>
        <w:t>Ulm University, Albert-Einstein-Allee 11, 89081 Ulm DE</w:t>
      </w:r>
    </w:p>
    <w:p w14:paraId="18B46EC1" w14:textId="77777777" w:rsidR="008F624E" w:rsidRDefault="008F624E" w:rsidP="008F624E">
      <w:pPr>
        <w:spacing w:line="480" w:lineRule="auto"/>
        <w:jc w:val="both"/>
        <w:rPr>
          <w:rFonts w:ascii="Arial" w:hAnsi="Arial" w:cs="Arial"/>
          <w:color w:val="000000"/>
          <w:lang w:val="en-GB"/>
        </w:rPr>
      </w:pPr>
      <w:r w:rsidRPr="00B9734E">
        <w:rPr>
          <w:rFonts w:ascii="Arial" w:hAnsi="Arial" w:cs="Arial"/>
          <w:color w:val="000000"/>
          <w:lang w:val="en-GB"/>
        </w:rPr>
        <w:t xml:space="preserve">email: </w:t>
      </w:r>
      <w:hyperlink r:id="rId7" w:history="1">
        <w:r w:rsidRPr="00A119A5">
          <w:rPr>
            <w:rStyle w:val="Hyperlink"/>
            <w:rFonts w:ascii="Arial" w:hAnsi="Arial" w:cs="Arial"/>
            <w:lang w:val="en-GB"/>
          </w:rPr>
          <w:t>tobias.boeckers@uni-ulm.de</w:t>
        </w:r>
      </w:hyperlink>
      <w:r>
        <w:rPr>
          <w:rFonts w:ascii="Arial" w:hAnsi="Arial" w:cs="Arial"/>
          <w:color w:val="000000"/>
          <w:lang w:val="en-GB"/>
        </w:rPr>
        <w:t xml:space="preserve">, </w:t>
      </w:r>
      <w:hyperlink r:id="rId8" w:history="1">
        <w:r w:rsidRPr="00BA0FDB">
          <w:rPr>
            <w:rStyle w:val="Hyperlink"/>
            <w:rFonts w:ascii="Arial" w:hAnsi="Arial" w:cs="Arial"/>
            <w:lang w:val="en-GB"/>
          </w:rPr>
          <w:t>alberto.catanese@uni-ulm.de</w:t>
        </w:r>
      </w:hyperlink>
    </w:p>
    <w:p w14:paraId="5D09AEB0" w14:textId="77777777" w:rsidR="008F624E" w:rsidRDefault="008F624E" w:rsidP="008F624E">
      <w:pPr>
        <w:spacing w:line="480" w:lineRule="auto"/>
        <w:jc w:val="both"/>
        <w:rPr>
          <w:rFonts w:ascii="Arial" w:hAnsi="Arial" w:cs="Arial"/>
          <w:color w:val="000000"/>
          <w:lang w:val="en-GB"/>
        </w:rPr>
      </w:pPr>
    </w:p>
    <w:p w14:paraId="577F8834" w14:textId="77777777" w:rsidR="008F624E" w:rsidRDefault="008F624E" w:rsidP="008F624E">
      <w:pPr>
        <w:spacing w:line="480" w:lineRule="auto"/>
        <w:jc w:val="both"/>
        <w:rPr>
          <w:rFonts w:ascii="Arial" w:hAnsi="Arial" w:cs="Arial"/>
          <w:color w:val="000000"/>
          <w:lang w:val="en-GB"/>
        </w:rPr>
      </w:pPr>
    </w:p>
    <w:p w14:paraId="566DCD0F" w14:textId="548D137A" w:rsidR="008F624E" w:rsidRDefault="008F624E" w:rsidP="008F624E">
      <w:pPr>
        <w:spacing w:line="480" w:lineRule="auto"/>
        <w:jc w:val="both"/>
        <w:rPr>
          <w:rFonts w:ascii="Arial" w:hAnsi="Arial" w:cs="Arial"/>
          <w:b/>
          <w:bCs/>
          <w:color w:val="000000"/>
          <w:lang w:val="en-GB"/>
        </w:rPr>
      </w:pPr>
    </w:p>
    <w:p w14:paraId="43310497" w14:textId="77777777" w:rsidR="008F624E" w:rsidRDefault="008F624E" w:rsidP="008F624E">
      <w:pPr>
        <w:spacing w:line="480" w:lineRule="auto"/>
        <w:jc w:val="both"/>
        <w:rPr>
          <w:rFonts w:ascii="Arial" w:hAnsi="Arial" w:cs="Arial"/>
          <w:b/>
          <w:bCs/>
          <w:sz w:val="24"/>
          <w:lang w:val="en-GB"/>
        </w:rPr>
      </w:pPr>
    </w:p>
    <w:p w14:paraId="504BF4FF" w14:textId="609BDCAD" w:rsidR="008F624E" w:rsidRPr="00EF763A" w:rsidRDefault="008F624E" w:rsidP="008F624E">
      <w:pPr>
        <w:spacing w:line="480" w:lineRule="auto"/>
        <w:jc w:val="both"/>
        <w:rPr>
          <w:rFonts w:ascii="Arial" w:hAnsi="Arial" w:cs="Arial"/>
          <w:sz w:val="24"/>
          <w:lang w:val="en-GB"/>
        </w:rPr>
      </w:pPr>
      <w:r w:rsidRPr="00EF763A">
        <w:rPr>
          <w:rFonts w:ascii="Arial" w:hAnsi="Arial" w:cs="Arial"/>
          <w:b/>
          <w:bCs/>
          <w:sz w:val="24"/>
          <w:lang w:val="en-GB"/>
        </w:rPr>
        <w:t>Supplementary Materials and Methods</w:t>
      </w:r>
    </w:p>
    <w:p w14:paraId="0D02B06F" w14:textId="77777777" w:rsidR="008F624E" w:rsidRPr="00EF763A" w:rsidRDefault="008F624E" w:rsidP="008F624E">
      <w:pPr>
        <w:spacing w:line="480" w:lineRule="auto"/>
        <w:jc w:val="both"/>
        <w:rPr>
          <w:rFonts w:ascii="Arial" w:hAnsi="Arial" w:cs="Arial"/>
          <w:sz w:val="24"/>
          <w:lang w:val="en-GB"/>
        </w:rPr>
      </w:pPr>
      <w:r w:rsidRPr="00EF763A">
        <w:rPr>
          <w:rFonts w:ascii="Arial" w:hAnsi="Arial" w:cs="Arial"/>
          <w:b/>
          <w:bCs/>
          <w:i/>
          <w:iCs/>
          <w:sz w:val="24"/>
          <w:lang w:val="en-GB"/>
        </w:rPr>
        <w:lastRenderedPageBreak/>
        <w:t>ATP levels measurement by luciferase-based Cell Viability Assay (</w:t>
      </w:r>
      <w:proofErr w:type="spellStart"/>
      <w:r w:rsidRPr="00EF763A">
        <w:rPr>
          <w:rFonts w:ascii="Arial" w:hAnsi="Arial" w:cs="Arial"/>
          <w:b/>
          <w:bCs/>
          <w:i/>
          <w:iCs/>
          <w:sz w:val="24"/>
          <w:lang w:val="en-GB"/>
        </w:rPr>
        <w:t>CellTiter</w:t>
      </w:r>
      <w:proofErr w:type="spellEnd"/>
      <w:r w:rsidRPr="00EF763A">
        <w:rPr>
          <w:rFonts w:ascii="Arial" w:hAnsi="Arial" w:cs="Arial"/>
          <w:b/>
          <w:bCs/>
          <w:i/>
          <w:iCs/>
          <w:sz w:val="24"/>
          <w:lang w:val="en-GB"/>
        </w:rPr>
        <w:t>-Glo</w:t>
      </w:r>
      <w:r w:rsidRPr="00EF763A">
        <w:rPr>
          <w:rFonts w:ascii="MS Gothic" w:hAnsi="MS Gothic" w:cs="MS Gothic"/>
          <w:b/>
          <w:bCs/>
          <w:i/>
          <w:iCs/>
          <w:sz w:val="24"/>
          <w:vertAlign w:val="superscript"/>
          <w:lang w:val="en-GB"/>
        </w:rPr>
        <w:t>Ⓡ</w:t>
      </w:r>
      <w:r w:rsidRPr="00EF763A">
        <w:rPr>
          <w:rFonts w:ascii="Arial" w:hAnsi="Arial" w:cs="Arial"/>
          <w:b/>
          <w:bCs/>
          <w:i/>
          <w:iCs/>
          <w:sz w:val="24"/>
          <w:lang w:val="en-GB"/>
        </w:rPr>
        <w:t xml:space="preserve"> Assay, Promega)</w:t>
      </w:r>
    </w:p>
    <w:p w14:paraId="3B3744FA" w14:textId="77777777" w:rsidR="008F624E" w:rsidRPr="00EF763A" w:rsidRDefault="008F624E" w:rsidP="008F624E">
      <w:pPr>
        <w:spacing w:line="480" w:lineRule="auto"/>
        <w:jc w:val="both"/>
        <w:rPr>
          <w:rFonts w:ascii="Arial" w:hAnsi="Arial" w:cs="Arial"/>
          <w:sz w:val="24"/>
          <w:lang w:val="en-GB"/>
        </w:rPr>
      </w:pPr>
      <w:proofErr w:type="spellStart"/>
      <w:r w:rsidRPr="00EF763A">
        <w:rPr>
          <w:rFonts w:ascii="Arial" w:hAnsi="Arial" w:cs="Arial"/>
          <w:sz w:val="24"/>
          <w:lang w:val="en-GB"/>
        </w:rPr>
        <w:t>CellTiter</w:t>
      </w:r>
      <w:proofErr w:type="spellEnd"/>
      <w:r w:rsidRPr="00EF763A">
        <w:rPr>
          <w:rFonts w:ascii="Arial" w:hAnsi="Arial" w:cs="Arial"/>
          <w:sz w:val="24"/>
          <w:lang w:val="en-GB"/>
        </w:rPr>
        <w:t>-Glo</w:t>
      </w:r>
      <w:r w:rsidRPr="00EF763A">
        <w:rPr>
          <w:rFonts w:ascii="Arial" w:hAnsi="Arial" w:cs="Arial"/>
          <w:sz w:val="24"/>
          <w:vertAlign w:val="superscript"/>
          <w:lang w:val="en-GB"/>
        </w:rPr>
        <w:t>®</w:t>
      </w:r>
      <w:r w:rsidRPr="00EF763A">
        <w:rPr>
          <w:rFonts w:ascii="Arial" w:hAnsi="Arial" w:cs="Arial"/>
          <w:sz w:val="24"/>
          <w:lang w:val="en-GB"/>
        </w:rPr>
        <w:t xml:space="preserve"> (Promega, #G7570) Luminescent Cell Viability Assay kit was run according to the manual. Primary hippocampal neurons were plated on 24-well plate and exposed to CRH (100 </w:t>
      </w:r>
      <w:proofErr w:type="spellStart"/>
      <w:r w:rsidRPr="00EF763A">
        <w:rPr>
          <w:rFonts w:ascii="Arial" w:hAnsi="Arial" w:cs="Arial"/>
          <w:sz w:val="24"/>
          <w:lang w:val="en-GB"/>
        </w:rPr>
        <w:t>nM</w:t>
      </w:r>
      <w:proofErr w:type="spellEnd"/>
      <w:r w:rsidRPr="00EF763A">
        <w:rPr>
          <w:rFonts w:ascii="Arial" w:hAnsi="Arial" w:cs="Arial"/>
          <w:sz w:val="24"/>
          <w:lang w:val="en-GB"/>
        </w:rPr>
        <w:t xml:space="preserve">) for 0.5h and 2 hours or vehicle (DMSO). After the treatment, 500 </w:t>
      </w:r>
      <w:r w:rsidRPr="00EF763A">
        <w:rPr>
          <w:rFonts w:ascii="Arial" w:hAnsi="Arial" w:cs="Arial"/>
          <w:sz w:val="24"/>
        </w:rPr>
        <w:t>μ</w:t>
      </w:r>
      <w:r w:rsidRPr="00EF763A">
        <w:rPr>
          <w:rFonts w:ascii="Arial" w:hAnsi="Arial" w:cs="Arial"/>
          <w:sz w:val="24"/>
          <w:lang w:val="en-GB"/>
        </w:rPr>
        <w:t xml:space="preserve">l of </w:t>
      </w:r>
      <w:proofErr w:type="spellStart"/>
      <w:r w:rsidRPr="00EF763A">
        <w:rPr>
          <w:rFonts w:ascii="Arial" w:hAnsi="Arial" w:cs="Arial"/>
          <w:sz w:val="24"/>
          <w:lang w:val="en-GB"/>
        </w:rPr>
        <w:t>CellTiter</w:t>
      </w:r>
      <w:proofErr w:type="spellEnd"/>
      <w:r w:rsidRPr="00EF763A">
        <w:rPr>
          <w:rFonts w:ascii="Arial" w:hAnsi="Arial" w:cs="Arial"/>
          <w:sz w:val="24"/>
          <w:lang w:val="en-GB"/>
        </w:rPr>
        <w:t>-Glo</w:t>
      </w:r>
      <w:r w:rsidRPr="00EF763A">
        <w:rPr>
          <w:rFonts w:ascii="Arial" w:hAnsi="Arial" w:cs="Arial"/>
          <w:sz w:val="24"/>
          <w:vertAlign w:val="superscript"/>
          <w:lang w:val="en-GB"/>
        </w:rPr>
        <w:t xml:space="preserve">® </w:t>
      </w:r>
      <w:r w:rsidRPr="00EF763A">
        <w:rPr>
          <w:rFonts w:ascii="Arial" w:hAnsi="Arial" w:cs="Arial"/>
          <w:sz w:val="24"/>
          <w:lang w:val="en-GB"/>
        </w:rPr>
        <w:t>Reagents (previously thawed and equilibrated at room temperature) were added in each well and mixed for 2 min on an orbital shaker to induce cell lysis. Then, the plates were kept at room temperature for 10 min to stabilize luminescence signal and, finally, the emitted light was quantified by the luminescence reader Cytation™3 Imaging Multi-Mode Reader (</w:t>
      </w:r>
      <w:proofErr w:type="spellStart"/>
      <w:r w:rsidRPr="00EF763A">
        <w:rPr>
          <w:rFonts w:ascii="Arial" w:hAnsi="Arial" w:cs="Arial"/>
          <w:sz w:val="24"/>
          <w:lang w:val="en-GB"/>
        </w:rPr>
        <w:t>BioTek</w:t>
      </w:r>
      <w:proofErr w:type="spellEnd"/>
      <w:r w:rsidRPr="00EF763A">
        <w:rPr>
          <w:rFonts w:ascii="Arial" w:hAnsi="Arial" w:cs="Arial"/>
          <w:sz w:val="24"/>
          <w:vertAlign w:val="superscript"/>
          <w:lang w:val="en-GB"/>
        </w:rPr>
        <w:t>®</w:t>
      </w:r>
      <w:r w:rsidRPr="00EF763A">
        <w:rPr>
          <w:rFonts w:ascii="Arial" w:hAnsi="Arial" w:cs="Arial"/>
          <w:sz w:val="24"/>
          <w:lang w:val="en-GB"/>
        </w:rPr>
        <w:t xml:space="preserve">) using Gen5™ software, whereby the measured luminescence signal is directly proportional to the amount of ATP present in each sample. Experiments were performed in N=4 independent replicates. One-way ANOVA and Bonferroni’s </w:t>
      </w:r>
      <w:r w:rsidRPr="00EF763A">
        <w:rPr>
          <w:rFonts w:ascii="Arial" w:hAnsi="Arial" w:cs="Arial"/>
          <w:i/>
          <w:iCs/>
          <w:sz w:val="24"/>
          <w:lang w:val="en-GB"/>
        </w:rPr>
        <w:t>post hoc</w:t>
      </w:r>
      <w:r w:rsidRPr="00EF763A">
        <w:rPr>
          <w:rFonts w:ascii="Arial" w:hAnsi="Arial" w:cs="Arial"/>
          <w:sz w:val="24"/>
          <w:lang w:val="en-GB"/>
        </w:rPr>
        <w:t xml:space="preserve"> comparison test were performed. Data were </w:t>
      </w:r>
      <w:proofErr w:type="spellStart"/>
      <w:r w:rsidRPr="00EF763A">
        <w:rPr>
          <w:rFonts w:ascii="Arial" w:hAnsi="Arial" w:cs="Arial"/>
          <w:sz w:val="24"/>
          <w:lang w:val="en-GB"/>
        </w:rPr>
        <w:t>analyzed</w:t>
      </w:r>
      <w:proofErr w:type="spellEnd"/>
      <w:r w:rsidRPr="00EF763A">
        <w:rPr>
          <w:rFonts w:ascii="Arial" w:hAnsi="Arial" w:cs="Arial"/>
          <w:sz w:val="24"/>
          <w:lang w:val="en-GB"/>
        </w:rPr>
        <w:t xml:space="preserve"> with GraphPad Prism (Version 7.0) and displayed as Mean ± SEM.  </w:t>
      </w:r>
    </w:p>
    <w:p w14:paraId="525DFC91" w14:textId="77777777" w:rsidR="008F624E" w:rsidRPr="00EF763A" w:rsidRDefault="008F624E" w:rsidP="008F624E">
      <w:pPr>
        <w:spacing w:line="480" w:lineRule="auto"/>
        <w:jc w:val="both"/>
        <w:rPr>
          <w:rFonts w:ascii="Arial" w:hAnsi="Arial" w:cs="Arial"/>
          <w:sz w:val="24"/>
          <w:lang w:val="en-GB"/>
        </w:rPr>
      </w:pPr>
    </w:p>
    <w:p w14:paraId="0A7473EB" w14:textId="77777777" w:rsidR="0012478C" w:rsidRPr="008F624E" w:rsidRDefault="0012478C">
      <w:pPr>
        <w:rPr>
          <w:lang w:val="en-GB"/>
        </w:rPr>
      </w:pPr>
    </w:p>
    <w:sectPr w:rsidR="0012478C" w:rsidRPr="008F624E" w:rsidSect="008F624E">
      <w:footerReference w:type="even" r:id="rId9"/>
      <w:footerReference w:type="default" r:id="rId10"/>
      <w:pgSz w:w="11906" w:h="16838"/>
      <w:pgMar w:top="1417" w:right="1134" w:bottom="1134" w:left="1134"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A4FACD" w14:textId="77777777" w:rsidR="00186307" w:rsidRDefault="00186307" w:rsidP="008F624E">
      <w:pPr>
        <w:spacing w:after="0" w:line="240" w:lineRule="auto"/>
      </w:pPr>
      <w:r>
        <w:separator/>
      </w:r>
    </w:p>
  </w:endnote>
  <w:endnote w:type="continuationSeparator" w:id="0">
    <w:p w14:paraId="137CB0B4" w14:textId="77777777" w:rsidR="00186307" w:rsidRDefault="00186307" w:rsidP="008F62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38957442"/>
      <w:docPartObj>
        <w:docPartGallery w:val="Page Numbers (Bottom of Page)"/>
        <w:docPartUnique/>
      </w:docPartObj>
    </w:sdtPr>
    <w:sdtContent>
      <w:p w14:paraId="132BC8B8" w14:textId="09A562CB" w:rsidR="008F624E" w:rsidRDefault="008F624E" w:rsidP="00BA0FD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D997509" w14:textId="77777777" w:rsidR="008F624E" w:rsidRDefault="008F624E" w:rsidP="008F624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574160336"/>
      <w:docPartObj>
        <w:docPartGallery w:val="Page Numbers (Bottom of Page)"/>
        <w:docPartUnique/>
      </w:docPartObj>
    </w:sdtPr>
    <w:sdtContent>
      <w:p w14:paraId="452BBAF5" w14:textId="6760CB30" w:rsidR="008F624E" w:rsidRDefault="008F624E" w:rsidP="00BA0FD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FE0FBE2" w14:textId="77777777" w:rsidR="008F624E" w:rsidRDefault="008F624E" w:rsidP="008F624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DA2AAF" w14:textId="77777777" w:rsidR="00186307" w:rsidRDefault="00186307" w:rsidP="008F624E">
      <w:pPr>
        <w:spacing w:after="0" w:line="240" w:lineRule="auto"/>
      </w:pPr>
      <w:r>
        <w:separator/>
      </w:r>
    </w:p>
  </w:footnote>
  <w:footnote w:type="continuationSeparator" w:id="0">
    <w:p w14:paraId="603369B9" w14:textId="77777777" w:rsidR="00186307" w:rsidRDefault="00186307" w:rsidP="008F624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24E"/>
    <w:rsid w:val="0012478C"/>
    <w:rsid w:val="00186307"/>
    <w:rsid w:val="00474B1C"/>
    <w:rsid w:val="008F624E"/>
    <w:rsid w:val="00AC32FC"/>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490E2"/>
  <w15:chartTrackingRefBased/>
  <w15:docId w15:val="{CD01B44F-9E6D-C14C-BAD0-90FD36FDB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24E"/>
    <w:pPr>
      <w:spacing w:after="160" w:line="259" w:lineRule="auto"/>
    </w:pPr>
    <w:rPr>
      <w:sz w:val="22"/>
      <w:szCs w:val="22"/>
      <w:lang w:val="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F624E"/>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Hyperlink">
    <w:name w:val="Hyperlink"/>
    <w:basedOn w:val="DefaultParagraphFont"/>
    <w:uiPriority w:val="99"/>
    <w:unhideWhenUsed/>
    <w:rsid w:val="008F624E"/>
    <w:rPr>
      <w:color w:val="0000FF"/>
      <w:u w:val="single"/>
    </w:rPr>
  </w:style>
  <w:style w:type="paragraph" w:styleId="Footer">
    <w:name w:val="footer"/>
    <w:basedOn w:val="Normal"/>
    <w:link w:val="FooterChar"/>
    <w:uiPriority w:val="99"/>
    <w:unhideWhenUsed/>
    <w:rsid w:val="008F62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624E"/>
    <w:rPr>
      <w:sz w:val="22"/>
      <w:szCs w:val="22"/>
      <w:lang w:val="it-IT"/>
    </w:rPr>
  </w:style>
  <w:style w:type="character" w:styleId="PageNumber">
    <w:name w:val="page number"/>
    <w:basedOn w:val="DefaultParagraphFont"/>
    <w:uiPriority w:val="99"/>
    <w:semiHidden/>
    <w:unhideWhenUsed/>
    <w:rsid w:val="008F624E"/>
  </w:style>
  <w:style w:type="character" w:styleId="LineNumber">
    <w:name w:val="line number"/>
    <w:basedOn w:val="DefaultParagraphFont"/>
    <w:uiPriority w:val="99"/>
    <w:semiHidden/>
    <w:unhideWhenUsed/>
    <w:rsid w:val="008F62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berto.catanese@uni-ulm.de" TargetMode="External"/><Relationship Id="rId3" Type="http://schemas.openxmlformats.org/officeDocument/2006/relationships/settings" Target="settings.xml"/><Relationship Id="rId7" Type="http://schemas.openxmlformats.org/officeDocument/2006/relationships/hyperlink" Target="mailto:tobias.boeckers@uni-ulm.d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ECBFA7-1B75-964C-B1CA-1AE0BFFA7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295</Words>
  <Characters>1686</Characters>
  <Application>Microsoft Office Word</Application>
  <DocSecurity>0</DocSecurity>
  <Lines>14</Lines>
  <Paragraphs>3</Paragraphs>
  <ScaleCrop>false</ScaleCrop>
  <Company/>
  <LinksUpToDate>false</LinksUpToDate>
  <CharactersWithSpaces>1978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albertocatanese@gmail.com</dc:creator>
  <cp:keywords/>
  <dc:description/>
  <cp:lastModifiedBy>albertocatanese@gmail.com</cp:lastModifiedBy>
  <cp:revision>1</cp:revision>
  <dcterms:created xsi:type="dcterms:W3CDTF">2020-10-01T12:14:00Z</dcterms:created>
  <dcterms:modified xsi:type="dcterms:W3CDTF">2020-10-01T12:16:00Z</dcterms:modified>
</cp:coreProperties>
</file>