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CC8DE" w14:textId="77777777" w:rsidR="00452826" w:rsidRPr="00B9734E" w:rsidRDefault="00452826" w:rsidP="00452826">
      <w:pPr>
        <w:pStyle w:val="NormalWeb"/>
        <w:spacing w:before="240" w:beforeAutospacing="0" w:after="0" w:afterAutospacing="0"/>
        <w:jc w:val="both"/>
        <w:rPr>
          <w:lang w:val="en-GB"/>
        </w:rPr>
      </w:pPr>
      <w:r w:rsidRPr="00B9734E">
        <w:rPr>
          <w:rFonts w:ascii="Arial" w:hAnsi="Arial" w:cs="Arial"/>
          <w:b/>
          <w:bCs/>
          <w:color w:val="000000"/>
          <w:sz w:val="28"/>
          <w:szCs w:val="28"/>
          <w:lang w:val="en-GB"/>
        </w:rPr>
        <w:t>Corticotropin Releasing Hormone (CRH) alters mitochondrial morphology and function by activating the NF-kB-DRP1 axis in hippocampal neurons</w:t>
      </w:r>
    </w:p>
    <w:p w14:paraId="7D22ABE2" w14:textId="77777777" w:rsidR="00452826" w:rsidRPr="00B9734E" w:rsidRDefault="00452826" w:rsidP="00452826">
      <w:pPr>
        <w:pStyle w:val="NormalWeb"/>
        <w:spacing w:before="240" w:beforeAutospacing="0" w:after="0" w:afterAutospacing="0"/>
        <w:jc w:val="both"/>
        <w:rPr>
          <w:lang w:val="en-GB"/>
        </w:rPr>
      </w:pPr>
      <w:r w:rsidRPr="00B9734E">
        <w:rPr>
          <w:color w:val="000000"/>
          <w:lang w:val="en-GB"/>
        </w:rPr>
        <w:t> </w:t>
      </w:r>
    </w:p>
    <w:p w14:paraId="362908FE" w14:textId="77777777" w:rsidR="00452826" w:rsidRDefault="00452826" w:rsidP="00452826">
      <w:pPr>
        <w:pStyle w:val="NormalWeb"/>
        <w:spacing w:before="240" w:beforeAutospacing="0" w:after="220" w:afterAutospacing="0" w:line="480" w:lineRule="auto"/>
        <w:jc w:val="both"/>
      </w:pPr>
      <w:r>
        <w:rPr>
          <w:rFonts w:ascii="Arial" w:hAnsi="Arial" w:cs="Arial"/>
          <w:color w:val="000000"/>
        </w:rPr>
        <w:t>Chiara R Battaglia</w:t>
      </w:r>
      <w:r w:rsidRPr="00B9734E">
        <w:rPr>
          <w:rFonts w:ascii="Arial" w:hAnsi="Arial" w:cs="Arial"/>
          <w:color w:val="000000"/>
          <w:vertAlign w:val="superscript"/>
        </w:rPr>
        <w:t>1,2</w:t>
      </w:r>
      <w:r>
        <w:rPr>
          <w:rFonts w:ascii="Arial" w:hAnsi="Arial" w:cs="Arial"/>
          <w:color w:val="000000"/>
        </w:rPr>
        <w:t>, Silvia Cursano</w:t>
      </w:r>
      <w:r w:rsidRPr="00B9734E">
        <w:rPr>
          <w:rFonts w:ascii="Arial" w:hAnsi="Arial" w:cs="Arial"/>
          <w:color w:val="000000"/>
          <w:vertAlign w:val="superscript"/>
        </w:rPr>
        <w:t>1,2</w:t>
      </w:r>
      <w:r>
        <w:rPr>
          <w:rFonts w:ascii="Arial" w:hAnsi="Arial" w:cs="Arial"/>
          <w:color w:val="000000"/>
        </w:rPr>
        <w:t>, Enrico Calzia</w:t>
      </w:r>
      <w:r w:rsidRPr="00B9734E">
        <w:rPr>
          <w:rFonts w:ascii="Arial" w:hAnsi="Arial" w:cs="Arial"/>
          <w:color w:val="000000"/>
          <w:vertAlign w:val="superscript"/>
        </w:rPr>
        <w:t>3</w:t>
      </w:r>
      <w:r>
        <w:rPr>
          <w:rFonts w:ascii="Arial" w:hAnsi="Arial" w:cs="Arial"/>
          <w:color w:val="000000"/>
        </w:rPr>
        <w:t>, Alberto Catanese</w:t>
      </w:r>
      <w:r w:rsidRPr="00B9734E">
        <w:rPr>
          <w:rFonts w:ascii="Arial" w:hAnsi="Arial" w:cs="Arial"/>
          <w:color w:val="000000"/>
          <w:vertAlign w:val="superscript"/>
        </w:rPr>
        <w:t>1</w:t>
      </w:r>
      <w:r>
        <w:rPr>
          <w:rFonts w:ascii="Arial" w:hAnsi="Arial" w:cs="Arial"/>
          <w:color w:val="000000"/>
        </w:rPr>
        <w:t xml:space="preserve">, Tobias M Boeckers </w:t>
      </w:r>
      <w:r w:rsidRPr="00B9734E">
        <w:rPr>
          <w:rFonts w:ascii="Arial" w:hAnsi="Arial" w:cs="Arial"/>
          <w:color w:val="000000"/>
          <w:vertAlign w:val="superscript"/>
        </w:rPr>
        <w:t>1,4</w:t>
      </w:r>
    </w:p>
    <w:p w14:paraId="5F4AD6E8" w14:textId="77777777" w:rsidR="00452826" w:rsidRPr="00B9734E" w:rsidRDefault="00452826" w:rsidP="00452826">
      <w:pPr>
        <w:pStyle w:val="NormalWeb"/>
        <w:spacing w:before="240" w:beforeAutospacing="0" w:after="220" w:afterAutospacing="0" w:line="480" w:lineRule="auto"/>
        <w:jc w:val="both"/>
        <w:rPr>
          <w:lang w:val="en-GB"/>
        </w:rPr>
      </w:pPr>
      <w:r w:rsidRPr="00B9734E">
        <w:rPr>
          <w:rFonts w:ascii="Arial" w:hAnsi="Arial" w:cs="Arial"/>
          <w:color w:val="000000"/>
          <w:lang w:val="en-GB"/>
        </w:rPr>
        <w:t>Affiliation:</w:t>
      </w:r>
      <w:r>
        <w:rPr>
          <w:rFonts w:ascii="Arial" w:hAnsi="Arial" w:cs="Arial"/>
          <w:color w:val="000000"/>
          <w:lang w:val="en-GB"/>
        </w:rPr>
        <w:t xml:space="preserve"> </w:t>
      </w:r>
      <w:r w:rsidRPr="00563752">
        <w:rPr>
          <w:rFonts w:ascii="Arial" w:hAnsi="Arial" w:cs="Arial"/>
          <w:color w:val="000000"/>
          <w:vertAlign w:val="superscript"/>
          <w:lang w:val="en-GB"/>
        </w:rPr>
        <w:t>1</w:t>
      </w:r>
      <w:r w:rsidRPr="00B9734E">
        <w:rPr>
          <w:rFonts w:ascii="Arial" w:hAnsi="Arial" w:cs="Arial"/>
          <w:color w:val="000000"/>
          <w:lang w:val="en-GB"/>
        </w:rPr>
        <w:t xml:space="preserve"> Institute of Anatomy and Cell Biology, Ulm University, Ulm (Germany)</w:t>
      </w:r>
    </w:p>
    <w:p w14:paraId="55236BEE" w14:textId="77777777" w:rsidR="00452826" w:rsidRPr="00B9734E" w:rsidRDefault="00452826" w:rsidP="00452826">
      <w:pPr>
        <w:pStyle w:val="NormalWeb"/>
        <w:spacing w:before="0" w:beforeAutospacing="0" w:after="220" w:afterAutospacing="0" w:line="480" w:lineRule="auto"/>
        <w:ind w:left="1000"/>
        <w:jc w:val="both"/>
        <w:rPr>
          <w:lang w:val="en-GB"/>
        </w:rPr>
      </w:pPr>
      <w:r>
        <w:rPr>
          <w:rFonts w:ascii="Arial" w:hAnsi="Arial" w:cs="Arial"/>
          <w:color w:val="000000"/>
          <w:vertAlign w:val="superscript"/>
          <w:lang w:val="en-GB"/>
        </w:rPr>
        <w:t xml:space="preserve"> </w:t>
      </w:r>
      <w:r w:rsidRPr="00563752">
        <w:rPr>
          <w:rFonts w:ascii="Arial" w:hAnsi="Arial" w:cs="Arial"/>
          <w:color w:val="000000"/>
          <w:vertAlign w:val="superscript"/>
          <w:lang w:val="en-GB"/>
        </w:rPr>
        <w:t>2</w:t>
      </w:r>
      <w:r w:rsidRPr="00B9734E">
        <w:rPr>
          <w:rFonts w:ascii="Arial" w:hAnsi="Arial" w:cs="Arial"/>
          <w:color w:val="000000"/>
          <w:lang w:val="en-GB"/>
        </w:rPr>
        <w:t xml:space="preserve"> International Graduate School, Ulm University, Ulm (Germany)</w:t>
      </w:r>
    </w:p>
    <w:p w14:paraId="4AF067A5" w14:textId="77777777" w:rsidR="00452826" w:rsidRPr="00B9734E" w:rsidRDefault="00452826" w:rsidP="00452826">
      <w:pPr>
        <w:pStyle w:val="NormalWeb"/>
        <w:spacing w:before="0" w:beforeAutospacing="0" w:after="220" w:afterAutospacing="0" w:line="480" w:lineRule="auto"/>
        <w:ind w:left="1000"/>
        <w:jc w:val="both"/>
        <w:rPr>
          <w:lang w:val="en-GB"/>
        </w:rPr>
      </w:pPr>
      <w:r>
        <w:rPr>
          <w:rFonts w:ascii="Arial" w:hAnsi="Arial" w:cs="Arial"/>
          <w:color w:val="000000"/>
          <w:vertAlign w:val="superscript"/>
          <w:lang w:val="en-GB"/>
        </w:rPr>
        <w:t xml:space="preserve"> </w:t>
      </w:r>
      <w:r w:rsidRPr="00563752">
        <w:rPr>
          <w:rFonts w:ascii="Arial" w:hAnsi="Arial" w:cs="Arial"/>
          <w:color w:val="000000"/>
          <w:vertAlign w:val="superscript"/>
          <w:lang w:val="en-GB"/>
        </w:rPr>
        <w:t>3</w:t>
      </w:r>
      <w:r w:rsidRPr="00B9734E">
        <w:rPr>
          <w:rFonts w:ascii="Arial" w:hAnsi="Arial" w:cs="Arial"/>
          <w:color w:val="000000"/>
          <w:lang w:val="en-GB"/>
        </w:rPr>
        <w:t xml:space="preserve"> </w:t>
      </w:r>
      <w:r w:rsidRPr="00B9734E">
        <w:rPr>
          <w:rFonts w:ascii="Arial" w:hAnsi="Arial" w:cs="Arial"/>
          <w:color w:val="000000"/>
          <w:shd w:val="clear" w:color="auto" w:fill="FFFFFF"/>
          <w:lang w:val="en-GB"/>
        </w:rPr>
        <w:t>Institute for Anesthesiologic Pathophysiology and Process Engineering, Ulm University, Ulm, Germany</w:t>
      </w:r>
    </w:p>
    <w:p w14:paraId="03C50B26" w14:textId="77777777" w:rsidR="00452826" w:rsidRPr="00B9734E" w:rsidRDefault="00452826" w:rsidP="00452826">
      <w:pPr>
        <w:pStyle w:val="NormalWeb"/>
        <w:spacing w:before="0" w:beforeAutospacing="0" w:after="220" w:afterAutospacing="0" w:line="480" w:lineRule="auto"/>
        <w:ind w:left="1000"/>
        <w:jc w:val="both"/>
        <w:rPr>
          <w:lang w:val="en-GB"/>
        </w:rPr>
      </w:pPr>
      <w:r>
        <w:rPr>
          <w:rFonts w:ascii="Arial" w:hAnsi="Arial" w:cs="Arial"/>
          <w:color w:val="000000"/>
          <w:vertAlign w:val="superscript"/>
          <w:lang w:val="en-GB"/>
        </w:rPr>
        <w:t xml:space="preserve"> </w:t>
      </w:r>
      <w:r w:rsidRPr="00563752">
        <w:rPr>
          <w:rFonts w:ascii="Arial" w:hAnsi="Arial" w:cs="Arial"/>
          <w:color w:val="000000"/>
          <w:vertAlign w:val="superscript"/>
          <w:lang w:val="en-GB"/>
        </w:rPr>
        <w:t xml:space="preserve">4 </w:t>
      </w:r>
      <w:r w:rsidRPr="00B9734E">
        <w:rPr>
          <w:rFonts w:ascii="Arial" w:hAnsi="Arial" w:cs="Arial"/>
          <w:color w:val="000000"/>
          <w:lang w:val="en-GB"/>
        </w:rPr>
        <w:t>DZNE, Ulm site, Ulm, Germany </w:t>
      </w:r>
    </w:p>
    <w:p w14:paraId="39495AFD" w14:textId="77777777" w:rsidR="00452826" w:rsidRPr="00B9734E" w:rsidRDefault="00452826" w:rsidP="00452826">
      <w:pPr>
        <w:pStyle w:val="NormalWeb"/>
        <w:spacing w:before="240" w:beforeAutospacing="0" w:after="0" w:afterAutospacing="0"/>
        <w:jc w:val="both"/>
        <w:rPr>
          <w:lang w:val="en-GB"/>
        </w:rPr>
      </w:pPr>
      <w:r w:rsidRPr="00B9734E">
        <w:rPr>
          <w:color w:val="000000"/>
          <w:lang w:val="en-GB"/>
        </w:rPr>
        <w:t> </w:t>
      </w:r>
    </w:p>
    <w:p w14:paraId="4E347FDD" w14:textId="77777777" w:rsidR="00452826" w:rsidRPr="00B9734E" w:rsidRDefault="00452826" w:rsidP="00452826">
      <w:pPr>
        <w:pStyle w:val="NormalWeb"/>
        <w:spacing w:before="240" w:beforeAutospacing="0" w:after="220" w:afterAutospacing="0" w:line="480" w:lineRule="auto"/>
        <w:jc w:val="both"/>
        <w:rPr>
          <w:lang w:val="en-GB"/>
        </w:rPr>
      </w:pPr>
      <w:r w:rsidRPr="00B9734E">
        <w:rPr>
          <w:rFonts w:ascii="Arial" w:hAnsi="Arial" w:cs="Arial"/>
          <w:color w:val="000000"/>
          <w:lang w:val="en-GB"/>
        </w:rPr>
        <w:t>Corresponding Authors: Prof. Dr. Tobias Böckers, Dr. Alberto Catanese, </w:t>
      </w:r>
    </w:p>
    <w:p w14:paraId="4F1A26F6" w14:textId="77777777" w:rsidR="00452826" w:rsidRPr="00B9734E" w:rsidRDefault="00452826" w:rsidP="00452826">
      <w:pPr>
        <w:pStyle w:val="NormalWeb"/>
        <w:spacing w:before="240" w:beforeAutospacing="0" w:after="220" w:afterAutospacing="0" w:line="480" w:lineRule="auto"/>
        <w:jc w:val="both"/>
        <w:rPr>
          <w:lang w:val="en-GB"/>
        </w:rPr>
      </w:pPr>
      <w:r w:rsidRPr="00B9734E">
        <w:rPr>
          <w:rFonts w:ascii="Arial" w:hAnsi="Arial" w:cs="Arial"/>
          <w:color w:val="000000"/>
          <w:lang w:val="en-GB"/>
        </w:rPr>
        <w:t>Institute of Anatomy and Cell Biology,</w:t>
      </w:r>
    </w:p>
    <w:p w14:paraId="395597DD" w14:textId="77777777" w:rsidR="00452826" w:rsidRPr="00473719" w:rsidRDefault="00452826" w:rsidP="00452826">
      <w:pPr>
        <w:pStyle w:val="NormalWeb"/>
        <w:spacing w:before="240" w:beforeAutospacing="0" w:after="220" w:afterAutospacing="0" w:line="480" w:lineRule="auto"/>
        <w:jc w:val="both"/>
        <w:rPr>
          <w:lang w:val="de-DE"/>
        </w:rPr>
      </w:pPr>
      <w:r w:rsidRPr="00473719">
        <w:rPr>
          <w:rFonts w:ascii="Arial" w:hAnsi="Arial" w:cs="Arial"/>
          <w:color w:val="000000"/>
          <w:lang w:val="de-DE"/>
        </w:rPr>
        <w:t>Ulm University, Albert-Einstein-Allee 11, 89081 Ulm DE</w:t>
      </w:r>
    </w:p>
    <w:p w14:paraId="34C2470F" w14:textId="0594F095" w:rsidR="00452826" w:rsidRDefault="00452826" w:rsidP="00452826">
      <w:pPr>
        <w:spacing w:line="480" w:lineRule="auto"/>
        <w:jc w:val="both"/>
        <w:rPr>
          <w:rFonts w:ascii="Arial" w:hAnsi="Arial" w:cs="Arial"/>
          <w:color w:val="000000"/>
          <w:lang w:val="en-GB"/>
        </w:rPr>
      </w:pPr>
      <w:r w:rsidRPr="00B9734E">
        <w:rPr>
          <w:rFonts w:ascii="Arial" w:hAnsi="Arial" w:cs="Arial"/>
          <w:color w:val="000000"/>
          <w:lang w:val="en-GB"/>
        </w:rPr>
        <w:t xml:space="preserve">email: </w:t>
      </w:r>
      <w:hyperlink r:id="rId6" w:history="1">
        <w:r w:rsidRPr="00A119A5">
          <w:rPr>
            <w:rStyle w:val="Hyperlink"/>
            <w:rFonts w:ascii="Arial" w:hAnsi="Arial" w:cs="Arial"/>
            <w:lang w:val="en-GB"/>
          </w:rPr>
          <w:t>tobias.boeckers@uni-ulm.de</w:t>
        </w:r>
      </w:hyperlink>
      <w:r>
        <w:rPr>
          <w:rFonts w:ascii="Arial" w:hAnsi="Arial" w:cs="Arial"/>
          <w:color w:val="000000"/>
          <w:lang w:val="en-GB"/>
        </w:rPr>
        <w:t xml:space="preserve">, </w:t>
      </w:r>
      <w:hyperlink r:id="rId7" w:history="1">
        <w:r w:rsidRPr="00BA0FDB">
          <w:rPr>
            <w:rStyle w:val="Hyperlink"/>
            <w:rFonts w:ascii="Arial" w:hAnsi="Arial" w:cs="Arial"/>
            <w:lang w:val="en-GB"/>
          </w:rPr>
          <w:t>alberto.catanese@uni-ulm.de</w:t>
        </w:r>
      </w:hyperlink>
    </w:p>
    <w:p w14:paraId="6B7A1D18" w14:textId="3DDE3C40" w:rsidR="00452826" w:rsidRDefault="00452826" w:rsidP="00452826">
      <w:pPr>
        <w:spacing w:line="480" w:lineRule="auto"/>
        <w:jc w:val="both"/>
        <w:rPr>
          <w:rFonts w:ascii="Arial" w:hAnsi="Arial" w:cs="Arial"/>
          <w:color w:val="000000"/>
          <w:lang w:val="en-GB"/>
        </w:rPr>
      </w:pPr>
    </w:p>
    <w:p w14:paraId="11BA3EF7" w14:textId="310E49CC" w:rsidR="00452826" w:rsidRDefault="00452826" w:rsidP="00452826">
      <w:pPr>
        <w:spacing w:line="480" w:lineRule="auto"/>
        <w:jc w:val="both"/>
        <w:rPr>
          <w:rFonts w:ascii="Arial" w:hAnsi="Arial" w:cs="Arial"/>
          <w:color w:val="000000"/>
          <w:lang w:val="en-GB"/>
        </w:rPr>
      </w:pPr>
    </w:p>
    <w:p w14:paraId="2E6C23F6" w14:textId="77777777" w:rsidR="00452826" w:rsidRDefault="00452826" w:rsidP="00452826">
      <w:pPr>
        <w:spacing w:line="480" w:lineRule="auto"/>
        <w:jc w:val="both"/>
        <w:rPr>
          <w:rFonts w:ascii="Arial" w:hAnsi="Arial" w:cs="Arial"/>
          <w:b/>
          <w:bCs/>
          <w:color w:val="000000"/>
          <w:lang w:val="en-GB"/>
        </w:rPr>
      </w:pPr>
    </w:p>
    <w:p w14:paraId="0C070554" w14:textId="77777777" w:rsidR="00452826" w:rsidRDefault="00452826" w:rsidP="00452826">
      <w:pPr>
        <w:spacing w:line="480" w:lineRule="auto"/>
        <w:jc w:val="both"/>
        <w:rPr>
          <w:rFonts w:ascii="Arial" w:hAnsi="Arial" w:cs="Arial"/>
          <w:b/>
          <w:bCs/>
          <w:color w:val="000000"/>
          <w:lang w:val="en-GB"/>
        </w:rPr>
      </w:pPr>
    </w:p>
    <w:p w14:paraId="528E4671" w14:textId="77777777" w:rsidR="00452826" w:rsidRDefault="00452826" w:rsidP="00452826">
      <w:pPr>
        <w:spacing w:line="480" w:lineRule="auto"/>
        <w:jc w:val="both"/>
        <w:rPr>
          <w:rFonts w:ascii="Arial" w:hAnsi="Arial" w:cs="Arial"/>
          <w:b/>
          <w:bCs/>
          <w:color w:val="000000"/>
          <w:lang w:val="en-GB"/>
        </w:rPr>
      </w:pPr>
    </w:p>
    <w:p w14:paraId="7735AF40" w14:textId="20DEACA4" w:rsidR="00452826" w:rsidRPr="00452826" w:rsidRDefault="00452826" w:rsidP="00452826">
      <w:pPr>
        <w:spacing w:line="480" w:lineRule="auto"/>
        <w:jc w:val="both"/>
        <w:rPr>
          <w:rFonts w:ascii="Arial" w:hAnsi="Arial" w:cs="Arial"/>
          <w:b/>
          <w:bCs/>
          <w:color w:val="000000"/>
          <w:lang w:val="en-GB"/>
        </w:rPr>
      </w:pPr>
      <w:r w:rsidRPr="00452826">
        <w:rPr>
          <w:rFonts w:ascii="Arial" w:hAnsi="Arial" w:cs="Arial"/>
          <w:b/>
          <w:bCs/>
          <w:color w:val="000000"/>
          <w:lang w:val="en-GB"/>
        </w:rPr>
        <w:t>Supplementary Figure legends</w:t>
      </w:r>
    </w:p>
    <w:p w14:paraId="70143C60" w14:textId="77777777" w:rsidR="00FC2A70" w:rsidRPr="00EF763A" w:rsidRDefault="00FC2A70" w:rsidP="00FC2A70">
      <w:pPr>
        <w:spacing w:line="480" w:lineRule="auto"/>
        <w:jc w:val="both"/>
        <w:rPr>
          <w:rFonts w:ascii="Arial" w:hAnsi="Arial" w:cs="Arial"/>
          <w:sz w:val="24"/>
          <w:lang w:val="en-GB"/>
        </w:rPr>
      </w:pPr>
      <w:r w:rsidRPr="00722763">
        <w:rPr>
          <w:rFonts w:ascii="Arial" w:hAnsi="Arial" w:cs="Arial"/>
          <w:b/>
          <w:bCs/>
          <w:sz w:val="24"/>
          <w:highlight w:val="yellow"/>
          <w:lang w:val="en-GB"/>
        </w:rPr>
        <w:lastRenderedPageBreak/>
        <w:t xml:space="preserve">Supplementary Figure S1. </w:t>
      </w:r>
      <w:r w:rsidRPr="00722763">
        <w:rPr>
          <w:rFonts w:ascii="Arial" w:hAnsi="Arial" w:cs="Arial"/>
          <w:sz w:val="24"/>
          <w:highlight w:val="yellow"/>
          <w:lang w:val="en-GB"/>
        </w:rPr>
        <w:t xml:space="preserve">Cell culture characterization. </w:t>
      </w:r>
      <w:proofErr w:type="gramStart"/>
      <w:r w:rsidRPr="00722763">
        <w:rPr>
          <w:rFonts w:ascii="Arial" w:hAnsi="Arial" w:cs="Arial"/>
          <w:b/>
          <w:bCs/>
          <w:sz w:val="24"/>
          <w:highlight w:val="yellow"/>
          <w:lang w:val="en-GB"/>
        </w:rPr>
        <w:t>A</w:t>
      </w:r>
      <w:proofErr w:type="gramEnd"/>
      <w:r w:rsidRPr="00722763">
        <w:rPr>
          <w:rFonts w:ascii="Arial" w:hAnsi="Arial" w:cs="Arial"/>
          <w:b/>
          <w:bCs/>
          <w:sz w:val="24"/>
          <w:highlight w:val="yellow"/>
          <w:lang w:val="en-GB"/>
        </w:rPr>
        <w:t xml:space="preserve"> </w:t>
      </w:r>
      <w:r w:rsidRPr="00722763">
        <w:rPr>
          <w:rFonts w:ascii="Arial" w:hAnsi="Arial" w:cs="Arial"/>
          <w:sz w:val="24"/>
          <w:highlight w:val="yellow"/>
          <w:lang w:val="en-GB"/>
        </w:rPr>
        <w:t xml:space="preserve">IHC for MAP2 (magenta) and GFAP (green) to detect the percentage of neuronal and glial cells in the cell culture. </w:t>
      </w:r>
      <w:r w:rsidRPr="00722763">
        <w:rPr>
          <w:rFonts w:ascii="Arial" w:hAnsi="Arial" w:cs="Arial"/>
          <w:b/>
          <w:bCs/>
          <w:sz w:val="24"/>
          <w:highlight w:val="yellow"/>
          <w:lang w:val="en-GB"/>
        </w:rPr>
        <w:t xml:space="preserve">B </w:t>
      </w:r>
      <w:r w:rsidRPr="00722763">
        <w:rPr>
          <w:rFonts w:ascii="Arial" w:hAnsi="Arial" w:cs="Arial"/>
          <w:sz w:val="24"/>
          <w:highlight w:val="yellow"/>
          <w:lang w:val="en-GB"/>
        </w:rPr>
        <w:t xml:space="preserve">IHC for VGLUT1 (red) and GAD67 (green) in primary neurons (scale bar = 30 </w:t>
      </w:r>
      <w:r w:rsidRPr="00722763">
        <w:rPr>
          <w:rFonts w:ascii="Arial" w:hAnsi="Arial" w:cs="Arial"/>
          <w:sz w:val="24"/>
          <w:highlight w:val="yellow"/>
        </w:rPr>
        <w:t>μ</w:t>
      </w:r>
      <w:r w:rsidRPr="00722763">
        <w:rPr>
          <w:rFonts w:ascii="Arial" w:hAnsi="Arial" w:cs="Arial"/>
          <w:sz w:val="24"/>
          <w:highlight w:val="yellow"/>
          <w:lang w:val="en-GB"/>
        </w:rPr>
        <w:t>m) to detect the percentage of excitatory and inhibitory neurons. Experiments were performed in N=3 independent replicates at DIV14. Data are displayed as Mean ± SEM; one-way ANOVA and Bonferroni’s post hoc comparison test were performed (*p&lt;0.05, **p&lt;0.005, ***p&lt;0.0005, ****p&lt;0.0001).</w:t>
      </w:r>
    </w:p>
    <w:p w14:paraId="535D3260" w14:textId="77777777" w:rsidR="00FC2A70" w:rsidRPr="00EF763A" w:rsidRDefault="00FC2A70" w:rsidP="00FC2A70">
      <w:pPr>
        <w:spacing w:line="480" w:lineRule="auto"/>
        <w:jc w:val="both"/>
        <w:rPr>
          <w:rFonts w:ascii="Arial" w:hAnsi="Arial" w:cs="Arial"/>
          <w:sz w:val="24"/>
          <w:lang w:val="en-GB"/>
        </w:rPr>
      </w:pPr>
      <w:r w:rsidRPr="00EF763A">
        <w:rPr>
          <w:rFonts w:ascii="Arial" w:hAnsi="Arial" w:cs="Arial"/>
          <w:b/>
          <w:bCs/>
          <w:sz w:val="24"/>
          <w:lang w:val="en-GB"/>
        </w:rPr>
        <w:t xml:space="preserve">Supplementary Figure S2. </w:t>
      </w:r>
      <w:r w:rsidRPr="00EF763A">
        <w:rPr>
          <w:rFonts w:ascii="Arial" w:hAnsi="Arial" w:cs="Arial"/>
          <w:sz w:val="24"/>
          <w:lang w:val="en-GB"/>
        </w:rPr>
        <w:t>Analysis of</w:t>
      </w:r>
      <w:r w:rsidRPr="00EF763A">
        <w:rPr>
          <w:rFonts w:ascii="Arial" w:hAnsi="Arial" w:cs="Arial"/>
          <w:b/>
          <w:bCs/>
          <w:sz w:val="24"/>
          <w:lang w:val="en-GB"/>
        </w:rPr>
        <w:t xml:space="preserve"> </w:t>
      </w:r>
      <w:r w:rsidRPr="00EF763A">
        <w:rPr>
          <w:rFonts w:ascii="Arial" w:hAnsi="Arial" w:cs="Arial"/>
          <w:sz w:val="24"/>
          <w:lang w:val="en-GB"/>
        </w:rPr>
        <w:t xml:space="preserve">Electron Microscopy (EM) images of somatic hippocampal mitochondria at earlier time points of CRH incubation (Vehicle, CRH 100nM 5 min and 15 min). </w:t>
      </w:r>
      <w:r w:rsidRPr="00EF763A">
        <w:rPr>
          <w:rFonts w:ascii="Arial" w:hAnsi="Arial" w:cs="Arial"/>
          <w:b/>
          <w:bCs/>
          <w:sz w:val="24"/>
          <w:lang w:val="en-GB"/>
        </w:rPr>
        <w:t xml:space="preserve">A </w:t>
      </w:r>
      <w:r w:rsidRPr="00EF763A">
        <w:rPr>
          <w:rFonts w:ascii="Arial" w:hAnsi="Arial" w:cs="Arial"/>
          <w:sz w:val="24"/>
          <w:lang w:val="en-GB"/>
        </w:rPr>
        <w:t>Quantification of mitochondrial mean area/12.77</w:t>
      </w:r>
      <w:r w:rsidRPr="00EF763A">
        <w:rPr>
          <w:rFonts w:ascii="Arial" w:hAnsi="Arial" w:cs="Arial"/>
          <w:sz w:val="24"/>
        </w:rPr>
        <w:t>μ</w:t>
      </w:r>
      <w:r w:rsidRPr="00EF763A">
        <w:rPr>
          <w:rFonts w:ascii="Arial" w:hAnsi="Arial" w:cs="Arial"/>
          <w:sz w:val="24"/>
          <w:lang w:val="en-GB"/>
        </w:rPr>
        <w:t>m</w:t>
      </w:r>
      <w:r w:rsidRPr="00EF763A">
        <w:rPr>
          <w:rFonts w:ascii="Arial" w:hAnsi="Arial" w:cs="Arial"/>
          <w:sz w:val="24"/>
          <w:vertAlign w:val="superscript"/>
          <w:lang w:val="en-GB"/>
        </w:rPr>
        <w:t>2</w:t>
      </w:r>
      <w:r w:rsidRPr="00EF763A">
        <w:rPr>
          <w:rFonts w:ascii="Arial" w:hAnsi="Arial" w:cs="Arial"/>
          <w:sz w:val="24"/>
          <w:lang w:val="en-GB"/>
        </w:rPr>
        <w:t xml:space="preserve"> (</w:t>
      </w:r>
      <w:r w:rsidRPr="00EF763A">
        <w:rPr>
          <w:rFonts w:ascii="Arial" w:hAnsi="Arial" w:cs="Arial"/>
          <w:sz w:val="24"/>
        </w:rPr>
        <w:t>μ</w:t>
      </w:r>
      <w:r w:rsidRPr="00EF763A">
        <w:rPr>
          <w:rFonts w:ascii="Arial" w:hAnsi="Arial" w:cs="Arial"/>
          <w:sz w:val="24"/>
          <w:lang w:val="en-GB"/>
        </w:rPr>
        <w:t>m</w:t>
      </w:r>
      <w:r w:rsidRPr="00EF763A">
        <w:rPr>
          <w:rFonts w:ascii="Arial" w:hAnsi="Arial" w:cs="Arial"/>
          <w:sz w:val="24"/>
          <w:vertAlign w:val="superscript"/>
          <w:lang w:val="en-GB"/>
        </w:rPr>
        <w:t>2</w:t>
      </w:r>
      <w:r w:rsidRPr="00EF763A">
        <w:rPr>
          <w:rFonts w:ascii="Arial" w:hAnsi="Arial" w:cs="Arial"/>
          <w:sz w:val="24"/>
          <w:lang w:val="en-GB"/>
        </w:rPr>
        <w:t xml:space="preserve">) and </w:t>
      </w:r>
      <w:r w:rsidRPr="00EF763A">
        <w:rPr>
          <w:rFonts w:ascii="Arial" w:hAnsi="Arial" w:cs="Arial"/>
          <w:b/>
          <w:bCs/>
          <w:sz w:val="24"/>
          <w:lang w:val="en-GB"/>
        </w:rPr>
        <w:t>B</w:t>
      </w:r>
      <w:r w:rsidRPr="00EF763A">
        <w:rPr>
          <w:rFonts w:ascii="Arial" w:hAnsi="Arial" w:cs="Arial"/>
          <w:sz w:val="24"/>
          <w:lang w:val="en-GB"/>
        </w:rPr>
        <w:t xml:space="preserve"> number of mitochondria. </w:t>
      </w:r>
      <w:r w:rsidRPr="00EF763A">
        <w:rPr>
          <w:rFonts w:ascii="Arial" w:hAnsi="Arial" w:cs="Arial"/>
          <w:b/>
          <w:bCs/>
          <w:sz w:val="24"/>
          <w:lang w:val="en-GB"/>
        </w:rPr>
        <w:t>C</w:t>
      </w:r>
      <w:r w:rsidRPr="00EF763A">
        <w:rPr>
          <w:rFonts w:ascii="Arial" w:hAnsi="Arial" w:cs="Arial"/>
          <w:sz w:val="24"/>
          <w:lang w:val="en-GB"/>
        </w:rPr>
        <w:t xml:space="preserve"> Representative TEM images of mitochondrial classification regards morphology (rod, swollen, irregular) and </w:t>
      </w:r>
      <w:r w:rsidRPr="00EF763A">
        <w:rPr>
          <w:rFonts w:ascii="Arial" w:hAnsi="Arial" w:cs="Arial"/>
          <w:i/>
          <w:iCs/>
          <w:sz w:val="24"/>
          <w:lang w:val="en-GB"/>
        </w:rPr>
        <w:t>cristae</w:t>
      </w:r>
      <w:r w:rsidRPr="00EF763A">
        <w:rPr>
          <w:rFonts w:ascii="Arial" w:hAnsi="Arial" w:cs="Arial"/>
          <w:sz w:val="24"/>
          <w:lang w:val="en-GB"/>
        </w:rPr>
        <w:t xml:space="preserve"> organization (well defined, aberrant). </w:t>
      </w:r>
      <w:r w:rsidRPr="00EF763A">
        <w:rPr>
          <w:rFonts w:ascii="Arial" w:hAnsi="Arial" w:cs="Arial"/>
          <w:b/>
          <w:bCs/>
          <w:sz w:val="24"/>
          <w:lang w:val="en-GB"/>
        </w:rPr>
        <w:t>D</w:t>
      </w:r>
      <w:r w:rsidRPr="00EF763A">
        <w:rPr>
          <w:rFonts w:ascii="Arial" w:hAnsi="Arial" w:cs="Arial"/>
          <w:sz w:val="24"/>
          <w:lang w:val="en-GB"/>
        </w:rPr>
        <w:t xml:space="preserve"> Percentage of rod, swollen and irregular mitochondria. </w:t>
      </w:r>
      <w:r w:rsidRPr="00EF763A">
        <w:rPr>
          <w:rFonts w:ascii="Arial" w:hAnsi="Arial" w:cs="Arial"/>
          <w:b/>
          <w:bCs/>
          <w:sz w:val="24"/>
          <w:lang w:val="en-GB"/>
        </w:rPr>
        <w:t>E</w:t>
      </w:r>
      <w:r w:rsidRPr="00EF763A">
        <w:rPr>
          <w:rFonts w:ascii="Arial" w:hAnsi="Arial" w:cs="Arial"/>
          <w:sz w:val="24"/>
          <w:lang w:val="en-GB"/>
        </w:rPr>
        <w:t xml:space="preserve"> Percentage of well-defined </w:t>
      </w:r>
      <w:r w:rsidRPr="00EF763A">
        <w:rPr>
          <w:rFonts w:ascii="Arial" w:hAnsi="Arial" w:cs="Arial"/>
          <w:i/>
          <w:iCs/>
          <w:sz w:val="24"/>
          <w:lang w:val="en-GB"/>
        </w:rPr>
        <w:t>cristae</w:t>
      </w:r>
      <w:r w:rsidRPr="00EF763A">
        <w:rPr>
          <w:rFonts w:ascii="Arial" w:hAnsi="Arial" w:cs="Arial"/>
          <w:sz w:val="24"/>
          <w:lang w:val="en-GB"/>
        </w:rPr>
        <w:t xml:space="preserve"> and aberrant </w:t>
      </w:r>
      <w:r w:rsidRPr="00EF763A">
        <w:rPr>
          <w:rFonts w:ascii="Arial" w:hAnsi="Arial" w:cs="Arial"/>
          <w:i/>
          <w:iCs/>
          <w:sz w:val="24"/>
          <w:lang w:val="en-GB"/>
        </w:rPr>
        <w:t>cristae</w:t>
      </w:r>
      <w:r w:rsidRPr="00EF763A">
        <w:rPr>
          <w:rFonts w:ascii="Arial" w:hAnsi="Arial" w:cs="Arial"/>
          <w:sz w:val="24"/>
          <w:lang w:val="en-GB"/>
        </w:rPr>
        <w:t>. Experiments were performed in N=3 independent replicates at DIV14. All the mitochondria per field of view were considered. Data are displayed as Mean ± SEM; one-way ANOVA and Bonferroni’s post hoc comparison test were performed; data non normally distributed were analyzed by one-way ANOVA non parametric test Kruskal-Wallis test followed by Uncorrected Dunn's multiple comparison test. (*p&lt;0.05, **p&lt;0.005, ***p&lt;0.0005, ****p&lt;0.0001).</w:t>
      </w:r>
    </w:p>
    <w:p w14:paraId="39625E53" w14:textId="77777777" w:rsidR="00FC2A70" w:rsidRPr="00EF763A" w:rsidRDefault="00FC2A70" w:rsidP="00FC2A70">
      <w:pPr>
        <w:spacing w:line="480" w:lineRule="auto"/>
        <w:jc w:val="both"/>
        <w:rPr>
          <w:rFonts w:ascii="Arial" w:hAnsi="Arial" w:cs="Arial"/>
          <w:sz w:val="24"/>
          <w:lang w:val="en-GB"/>
        </w:rPr>
      </w:pPr>
      <w:r w:rsidRPr="00EF763A">
        <w:rPr>
          <w:rFonts w:ascii="Arial" w:hAnsi="Arial" w:cs="Arial"/>
          <w:b/>
          <w:bCs/>
          <w:sz w:val="24"/>
          <w:lang w:val="en-GB"/>
        </w:rPr>
        <w:t xml:space="preserve">Supplementary Figure S3. </w:t>
      </w:r>
      <w:r w:rsidRPr="00EF763A">
        <w:rPr>
          <w:rFonts w:ascii="Arial" w:hAnsi="Arial" w:cs="Arial"/>
          <w:sz w:val="24"/>
          <w:lang w:val="en-GB"/>
        </w:rPr>
        <w:t xml:space="preserve">Mitochondrial respiratory activity of primary neurons at earlier time points of CRH incubation (Vehicle, CRH 100nM 5 min and 15 min) measured by high-resolution respirometry using the Oxygraph-2k(R) system (OROBOROS Instruments Corp., Innsbruck, Austria). </w:t>
      </w:r>
      <w:r w:rsidRPr="00EF763A">
        <w:rPr>
          <w:rFonts w:ascii="Arial" w:hAnsi="Arial" w:cs="Arial"/>
          <w:b/>
          <w:bCs/>
          <w:sz w:val="24"/>
          <w:lang w:val="en-GB"/>
        </w:rPr>
        <w:t xml:space="preserve">A </w:t>
      </w:r>
      <w:r w:rsidRPr="00EF763A">
        <w:rPr>
          <w:rFonts w:ascii="Arial" w:hAnsi="Arial" w:cs="Arial"/>
          <w:sz w:val="24"/>
          <w:lang w:val="en-GB"/>
        </w:rPr>
        <w:t xml:space="preserve">Maximum OxPhos capacity, </w:t>
      </w:r>
      <w:r w:rsidRPr="00EF763A">
        <w:rPr>
          <w:rFonts w:ascii="Arial" w:hAnsi="Arial" w:cs="Arial"/>
          <w:b/>
          <w:bCs/>
          <w:sz w:val="24"/>
          <w:lang w:val="en-GB"/>
        </w:rPr>
        <w:t xml:space="preserve">B </w:t>
      </w:r>
      <w:r w:rsidRPr="00EF763A">
        <w:rPr>
          <w:rFonts w:ascii="Arial" w:hAnsi="Arial" w:cs="Arial"/>
          <w:sz w:val="24"/>
          <w:lang w:val="en-GB"/>
        </w:rPr>
        <w:t xml:space="preserve">maximum ETS capacity and </w:t>
      </w:r>
      <w:r w:rsidRPr="00EF763A">
        <w:rPr>
          <w:rFonts w:ascii="Arial" w:hAnsi="Arial" w:cs="Arial"/>
          <w:b/>
          <w:bCs/>
          <w:sz w:val="24"/>
          <w:lang w:val="en-GB"/>
        </w:rPr>
        <w:t xml:space="preserve">C </w:t>
      </w:r>
      <w:r w:rsidRPr="00EF763A">
        <w:rPr>
          <w:rFonts w:ascii="Arial" w:hAnsi="Arial" w:cs="Arial"/>
          <w:sz w:val="24"/>
          <w:lang w:val="en-GB"/>
        </w:rPr>
        <w:t xml:space="preserve">respiratory activity linked to complex IV. </w:t>
      </w:r>
      <w:r w:rsidRPr="00EF763A">
        <w:rPr>
          <w:rFonts w:ascii="Arial" w:hAnsi="Arial" w:cs="Arial"/>
          <w:b/>
          <w:bCs/>
          <w:sz w:val="24"/>
          <w:lang w:val="en-GB"/>
        </w:rPr>
        <w:t>D</w:t>
      </w:r>
      <w:r w:rsidRPr="00EF763A">
        <w:rPr>
          <w:rFonts w:ascii="Arial" w:hAnsi="Arial" w:cs="Arial"/>
          <w:sz w:val="24"/>
          <w:lang w:val="en-GB"/>
        </w:rPr>
        <w:t xml:space="preserve"> ATP levels detected by luciferase-based assay (CellTiter-Glo</w:t>
      </w:r>
      <w:r w:rsidRPr="00EF763A">
        <w:rPr>
          <w:rFonts w:ascii="MS Gothic" w:hAnsi="MS Gothic" w:cs="MS Gothic"/>
          <w:sz w:val="24"/>
          <w:vertAlign w:val="superscript"/>
          <w:lang w:val="en-GB"/>
        </w:rPr>
        <w:t>Ⓡ</w:t>
      </w:r>
      <w:r w:rsidRPr="00EF763A">
        <w:rPr>
          <w:rFonts w:ascii="Arial" w:hAnsi="Arial" w:cs="Arial"/>
          <w:sz w:val="24"/>
          <w:lang w:val="en-GB"/>
        </w:rPr>
        <w:t xml:space="preserve"> Assay, Promega) in neurons exposed to CRH for 0,5h and 2h or vehicle </w:t>
      </w:r>
      <w:r w:rsidRPr="00EF763A">
        <w:rPr>
          <w:rFonts w:ascii="Arial" w:hAnsi="Arial" w:cs="Arial"/>
          <w:sz w:val="24"/>
          <w:lang w:val="en-GB"/>
        </w:rPr>
        <w:lastRenderedPageBreak/>
        <w:t>(DMSO). Mitochondrial respiration was quantified in terms of oxygen flux (</w:t>
      </w:r>
      <w:r w:rsidRPr="00EF763A">
        <w:rPr>
          <w:rFonts w:ascii="Arial" w:hAnsi="Arial" w:cs="Arial"/>
          <w:i/>
          <w:iCs/>
          <w:sz w:val="24"/>
          <w:lang w:val="en-GB"/>
        </w:rPr>
        <w:t>J</w:t>
      </w:r>
      <w:r w:rsidRPr="00EF763A">
        <w:rPr>
          <w:rFonts w:ascii="Arial" w:hAnsi="Arial" w:cs="Arial"/>
          <w:sz w:val="24"/>
          <w:lang w:val="en-GB"/>
        </w:rPr>
        <w:t>O</w:t>
      </w:r>
      <w:r w:rsidRPr="00EF763A">
        <w:rPr>
          <w:rFonts w:ascii="Arial" w:hAnsi="Arial" w:cs="Arial"/>
          <w:sz w:val="24"/>
          <w:vertAlign w:val="subscript"/>
          <w:lang w:val="en-GB"/>
        </w:rPr>
        <w:t>2</w:t>
      </w:r>
      <w:r w:rsidRPr="00EF763A">
        <w:rPr>
          <w:rFonts w:ascii="Arial" w:hAnsi="Arial" w:cs="Arial"/>
          <w:sz w:val="24"/>
          <w:lang w:val="en-GB"/>
        </w:rPr>
        <w:t>) based on the rate of change of the O</w:t>
      </w:r>
      <w:r w:rsidRPr="00EF763A">
        <w:rPr>
          <w:rFonts w:ascii="Arial" w:hAnsi="Arial" w:cs="Arial"/>
          <w:sz w:val="24"/>
          <w:vertAlign w:val="subscript"/>
          <w:lang w:val="en-GB"/>
        </w:rPr>
        <w:t>2</w:t>
      </w:r>
      <w:r w:rsidRPr="00EF763A">
        <w:rPr>
          <w:rFonts w:ascii="Arial" w:hAnsi="Arial" w:cs="Arial"/>
          <w:sz w:val="24"/>
          <w:lang w:val="en-GB"/>
        </w:rPr>
        <w:t xml:space="preserve"> concentration in the chambers after normalization to the total cell number: pmol O</w:t>
      </w:r>
      <w:r w:rsidRPr="00EF763A">
        <w:rPr>
          <w:rFonts w:ascii="Arial" w:hAnsi="Arial" w:cs="Arial"/>
          <w:sz w:val="24"/>
          <w:vertAlign w:val="subscript"/>
          <w:lang w:val="en-GB"/>
        </w:rPr>
        <w:t>2</w:t>
      </w:r>
      <w:proofErr w:type="gramStart"/>
      <w:r w:rsidRPr="00EF763A">
        <w:rPr>
          <w:rFonts w:ascii="Arial" w:hAnsi="Arial" w:cs="Arial"/>
          <w:sz w:val="24"/>
          <w:lang w:val="en-GB"/>
        </w:rPr>
        <w:t>/(</w:t>
      </w:r>
      <w:proofErr w:type="gramEnd"/>
      <w:r w:rsidRPr="00EF763A">
        <w:rPr>
          <w:rFonts w:ascii="Arial" w:hAnsi="Arial" w:cs="Arial"/>
          <w:sz w:val="24"/>
          <w:lang w:val="en-GB"/>
        </w:rPr>
        <w:t>s*10</w:t>
      </w:r>
      <w:r w:rsidRPr="00EF763A">
        <w:rPr>
          <w:rFonts w:ascii="Arial" w:hAnsi="Arial" w:cs="Arial"/>
          <w:sz w:val="24"/>
          <w:vertAlign w:val="superscript"/>
          <w:lang w:val="en-GB"/>
        </w:rPr>
        <w:t>6</w:t>
      </w:r>
      <w:r w:rsidRPr="00EF763A">
        <w:rPr>
          <w:rFonts w:ascii="Arial" w:hAnsi="Arial" w:cs="Arial"/>
          <w:sz w:val="24"/>
          <w:lang w:val="en-GB"/>
        </w:rPr>
        <w:t xml:space="preserve"> cells). Experiments were performed in N=4 independent replicates at DIV14. Data are displayed as Mean ± SEM; one-way ANOVA and Bonferroni’s post hoc comparison test were performed (*p&lt;0.05, **p&lt;0.005, ***p&lt;0.0005, ****p&lt;0.0001).</w:t>
      </w:r>
    </w:p>
    <w:p w14:paraId="0DC95AA4" w14:textId="77777777" w:rsidR="00FC2A70" w:rsidRPr="00EF763A" w:rsidRDefault="00FC2A70" w:rsidP="00FC2A70">
      <w:pPr>
        <w:spacing w:line="480" w:lineRule="auto"/>
        <w:jc w:val="both"/>
        <w:rPr>
          <w:rFonts w:ascii="Arial" w:hAnsi="Arial" w:cs="Arial"/>
          <w:sz w:val="24"/>
          <w:lang w:val="en-GB"/>
        </w:rPr>
      </w:pPr>
      <w:r w:rsidRPr="00EF763A">
        <w:rPr>
          <w:rFonts w:ascii="Arial" w:hAnsi="Arial" w:cs="Arial"/>
          <w:b/>
          <w:bCs/>
          <w:sz w:val="24"/>
          <w:lang w:val="en-GB"/>
        </w:rPr>
        <w:t xml:space="preserve">Supplementary Figure S4. </w:t>
      </w:r>
      <w:proofErr w:type="gramStart"/>
      <w:r w:rsidRPr="00EF763A">
        <w:rPr>
          <w:rFonts w:ascii="Arial" w:hAnsi="Arial" w:cs="Arial"/>
          <w:b/>
          <w:bCs/>
          <w:sz w:val="24"/>
          <w:lang w:val="en-GB"/>
        </w:rPr>
        <w:t>A</w:t>
      </w:r>
      <w:proofErr w:type="gramEnd"/>
      <w:r w:rsidRPr="00EF763A">
        <w:rPr>
          <w:rFonts w:ascii="Arial" w:hAnsi="Arial" w:cs="Arial"/>
          <w:sz w:val="24"/>
          <w:lang w:val="en-GB"/>
        </w:rPr>
        <w:t xml:space="preserve"> IHC for MAP2 (grey), mitochondrial marker TOMM20 (red) and LC3A (green) in primary neurons in vehicle and cells treated for 0.5h with CRH (scale bar = 5 </w:t>
      </w:r>
      <w:r w:rsidRPr="00EF763A">
        <w:rPr>
          <w:rFonts w:ascii="Arial" w:hAnsi="Arial" w:cs="Arial"/>
          <w:sz w:val="24"/>
        </w:rPr>
        <w:t>μ</w:t>
      </w:r>
      <w:r w:rsidRPr="00EF763A">
        <w:rPr>
          <w:rFonts w:ascii="Arial" w:hAnsi="Arial" w:cs="Arial"/>
          <w:sz w:val="24"/>
          <w:lang w:val="en-GB"/>
        </w:rPr>
        <w:t>m) and relative quantification relative to soma. Experiments were performed in N=3 independent replicates at DIV14. Data are displayed as Mean ± SEM; one-way ANOVA and Bonferroni’s post hoc comparison test were performed (*p&lt;0.05, **p&lt;0.005, ***p&lt;0.0005, ****p&lt;0.0001).</w:t>
      </w:r>
    </w:p>
    <w:p w14:paraId="00A6F9CF" w14:textId="77777777" w:rsidR="00FC2A70" w:rsidRPr="00EF763A" w:rsidRDefault="00FC2A70" w:rsidP="00FC2A70">
      <w:pPr>
        <w:spacing w:line="480" w:lineRule="auto"/>
        <w:jc w:val="both"/>
        <w:rPr>
          <w:rFonts w:ascii="Arial" w:hAnsi="Arial" w:cs="Arial"/>
          <w:sz w:val="24"/>
          <w:lang w:val="en-GB"/>
        </w:rPr>
      </w:pPr>
      <w:r w:rsidRPr="00722763">
        <w:rPr>
          <w:rFonts w:ascii="Arial" w:hAnsi="Arial" w:cs="Arial"/>
          <w:b/>
          <w:bCs/>
          <w:sz w:val="24"/>
          <w:highlight w:val="yellow"/>
          <w:lang w:val="en-GB"/>
        </w:rPr>
        <w:t xml:space="preserve">Supplementary Figure S5. </w:t>
      </w:r>
      <w:r w:rsidRPr="00722763">
        <w:rPr>
          <w:rFonts w:ascii="Arial" w:hAnsi="Arial" w:cs="Arial"/>
          <w:sz w:val="24"/>
          <w:highlight w:val="yellow"/>
          <w:lang w:val="en-GB"/>
        </w:rPr>
        <w:t xml:space="preserve">Analysis of mitochondrial fission </w:t>
      </w:r>
      <w:r w:rsidRPr="00722763">
        <w:rPr>
          <w:rFonts w:ascii="Arial" w:hAnsi="Arial" w:cs="Arial"/>
          <w:i/>
          <w:iCs/>
          <w:sz w:val="24"/>
          <w:highlight w:val="yellow"/>
          <w:lang w:val="en-GB"/>
        </w:rPr>
        <w:t>in vivo</w:t>
      </w:r>
      <w:r w:rsidRPr="00722763">
        <w:rPr>
          <w:rFonts w:ascii="Arial" w:hAnsi="Arial" w:cs="Arial"/>
          <w:b/>
          <w:bCs/>
          <w:sz w:val="24"/>
          <w:highlight w:val="yellow"/>
          <w:lang w:val="en-GB"/>
        </w:rPr>
        <w:t xml:space="preserve"> A</w:t>
      </w:r>
      <w:r w:rsidRPr="00722763">
        <w:rPr>
          <w:rFonts w:ascii="Arial" w:hAnsi="Arial" w:cs="Arial"/>
          <w:sz w:val="24"/>
          <w:highlight w:val="yellow"/>
          <w:lang w:val="en-GB"/>
        </w:rPr>
        <w:t xml:space="preserve"> WB analysis and quantification of hippocampal homogenates using antibody directed against the mitochondrial fission marker DRP1</w:t>
      </w:r>
      <w:r w:rsidRPr="00722763">
        <w:rPr>
          <w:rFonts w:ascii="Arial" w:hAnsi="Arial" w:cs="Arial"/>
          <w:sz w:val="24"/>
          <w:highlight w:val="yellow"/>
          <w:vertAlign w:val="superscript"/>
          <w:lang w:val="en-GB"/>
        </w:rPr>
        <w:t xml:space="preserve">S616 </w:t>
      </w:r>
      <w:r w:rsidRPr="00722763">
        <w:rPr>
          <w:rFonts w:ascii="Arial" w:hAnsi="Arial" w:cs="Arial"/>
          <w:sz w:val="24"/>
          <w:highlight w:val="yellow"/>
          <w:lang w:val="en-GB"/>
        </w:rPr>
        <w:t>in Sham and in mice 5 days after TxT. Experiments were performed in N=3 independent replicates at DIV14. Data are displayed as Mean ± SEM; one-way ANOVA and Bonferroni’s post hoc comparison test were performed (*p&lt;0.05, **p&lt;0.005, ***p&lt;0.0005, ****p&lt;0.0001).</w:t>
      </w:r>
    </w:p>
    <w:p w14:paraId="20CA1E77" w14:textId="77777777" w:rsidR="00FC2A70" w:rsidRDefault="00FC2A70" w:rsidP="00FC2A70">
      <w:pPr>
        <w:spacing w:line="480" w:lineRule="auto"/>
        <w:jc w:val="both"/>
        <w:rPr>
          <w:rFonts w:ascii="Arial" w:hAnsi="Arial" w:cs="Arial"/>
          <w:sz w:val="24"/>
          <w:lang w:val="en-GB"/>
        </w:rPr>
      </w:pPr>
      <w:r w:rsidRPr="00722763">
        <w:rPr>
          <w:rFonts w:ascii="Arial" w:hAnsi="Arial" w:cs="Arial"/>
          <w:b/>
          <w:bCs/>
          <w:sz w:val="24"/>
          <w:highlight w:val="yellow"/>
          <w:lang w:val="en-GB"/>
        </w:rPr>
        <w:t xml:space="preserve">Supplementary Figure S6. </w:t>
      </w:r>
      <w:r w:rsidRPr="00722763">
        <w:rPr>
          <w:rFonts w:ascii="Arial" w:hAnsi="Arial" w:cs="Arial"/>
          <w:sz w:val="24"/>
          <w:highlight w:val="yellow"/>
          <w:lang w:val="en-GB"/>
        </w:rPr>
        <w:t>Analysis of proinflammatory markers in primary hippocampal neurons: IL-6 and IL-17,</w:t>
      </w:r>
      <w:r w:rsidRPr="00722763">
        <w:rPr>
          <w:rFonts w:ascii="Arial" w:hAnsi="Arial" w:cs="Arial"/>
          <w:b/>
          <w:bCs/>
          <w:sz w:val="24"/>
          <w:highlight w:val="yellow"/>
          <w:lang w:val="en-GB"/>
        </w:rPr>
        <w:t xml:space="preserve"> A-B </w:t>
      </w:r>
      <w:r w:rsidRPr="00722763">
        <w:rPr>
          <w:rFonts w:ascii="Arial" w:hAnsi="Arial" w:cs="Arial"/>
          <w:i/>
          <w:iCs/>
          <w:sz w:val="24"/>
          <w:highlight w:val="yellow"/>
          <w:lang w:val="en-GB"/>
        </w:rPr>
        <w:t xml:space="preserve">in vitro </w:t>
      </w:r>
      <w:r w:rsidRPr="00722763">
        <w:rPr>
          <w:rFonts w:ascii="Arial" w:hAnsi="Arial" w:cs="Arial"/>
          <w:sz w:val="24"/>
          <w:highlight w:val="yellow"/>
          <w:lang w:val="en-GB"/>
        </w:rPr>
        <w:t>(vehicle, CRH 100nM for 0.5h and with CRH 0.5h + CRHR1 Blocker NBI30775 100nM)</w:t>
      </w:r>
      <w:r w:rsidRPr="00722763">
        <w:rPr>
          <w:rFonts w:ascii="Arial" w:hAnsi="Arial" w:cs="Arial"/>
          <w:i/>
          <w:iCs/>
          <w:sz w:val="24"/>
          <w:highlight w:val="yellow"/>
          <w:lang w:val="en-GB"/>
        </w:rPr>
        <w:t xml:space="preserve"> </w:t>
      </w:r>
      <w:r w:rsidRPr="00722763">
        <w:rPr>
          <w:rFonts w:ascii="Arial" w:hAnsi="Arial" w:cs="Arial"/>
          <w:sz w:val="24"/>
          <w:highlight w:val="yellow"/>
          <w:lang w:val="en-GB"/>
        </w:rPr>
        <w:t>and</w:t>
      </w:r>
      <w:r w:rsidRPr="00722763">
        <w:rPr>
          <w:rFonts w:ascii="Arial" w:hAnsi="Arial" w:cs="Arial"/>
          <w:b/>
          <w:bCs/>
          <w:sz w:val="24"/>
          <w:highlight w:val="yellow"/>
          <w:lang w:val="en-GB"/>
        </w:rPr>
        <w:t xml:space="preserve"> D-E </w:t>
      </w:r>
      <w:r w:rsidRPr="00722763">
        <w:rPr>
          <w:rFonts w:ascii="Arial" w:hAnsi="Arial" w:cs="Arial"/>
          <w:i/>
          <w:iCs/>
          <w:sz w:val="24"/>
          <w:highlight w:val="yellow"/>
          <w:lang w:val="en-GB"/>
        </w:rPr>
        <w:t xml:space="preserve">in vivo </w:t>
      </w:r>
      <w:r w:rsidRPr="00722763">
        <w:rPr>
          <w:rFonts w:ascii="Arial" w:hAnsi="Arial" w:cs="Arial"/>
          <w:sz w:val="24"/>
          <w:highlight w:val="yellow"/>
          <w:lang w:val="en-GB"/>
        </w:rPr>
        <w:t>from</w:t>
      </w:r>
      <w:r w:rsidRPr="00722763">
        <w:rPr>
          <w:rFonts w:ascii="Arial" w:hAnsi="Arial" w:cs="Arial"/>
          <w:i/>
          <w:iCs/>
          <w:sz w:val="24"/>
          <w:highlight w:val="yellow"/>
          <w:lang w:val="en-GB"/>
        </w:rPr>
        <w:t xml:space="preserve"> </w:t>
      </w:r>
      <w:r w:rsidRPr="00722763">
        <w:rPr>
          <w:rFonts w:ascii="Arial" w:hAnsi="Arial" w:cs="Arial"/>
          <w:sz w:val="24"/>
          <w:highlight w:val="yellow"/>
          <w:lang w:val="en-GB"/>
        </w:rPr>
        <w:t>hippocampal homogenates</w:t>
      </w:r>
      <w:r w:rsidRPr="00722763">
        <w:rPr>
          <w:rFonts w:ascii="Arial" w:hAnsi="Arial" w:cs="Arial"/>
          <w:i/>
          <w:iCs/>
          <w:sz w:val="24"/>
          <w:highlight w:val="yellow"/>
          <w:lang w:val="en-GB"/>
        </w:rPr>
        <w:t xml:space="preserve"> </w:t>
      </w:r>
      <w:r w:rsidRPr="00722763">
        <w:rPr>
          <w:rFonts w:ascii="Arial" w:hAnsi="Arial" w:cs="Arial"/>
          <w:sz w:val="24"/>
          <w:highlight w:val="yellow"/>
          <w:lang w:val="en-GB"/>
        </w:rPr>
        <w:t>of Sham and of mice 5 days after TxT (5 TxT)</w:t>
      </w:r>
      <w:r w:rsidRPr="00722763">
        <w:rPr>
          <w:rFonts w:ascii="Arial" w:hAnsi="Arial" w:cs="Arial"/>
          <w:b/>
          <w:bCs/>
          <w:sz w:val="24"/>
          <w:highlight w:val="yellow"/>
          <w:lang w:val="en-GB"/>
        </w:rPr>
        <w:t xml:space="preserve">. </w:t>
      </w:r>
      <w:r w:rsidRPr="00722763">
        <w:rPr>
          <w:rFonts w:ascii="Arial" w:hAnsi="Arial" w:cs="Arial"/>
          <w:sz w:val="24"/>
          <w:highlight w:val="yellow"/>
          <w:lang w:val="en-GB"/>
        </w:rPr>
        <w:t>Experiments were performed in N=3 independent replicates at DIV14. Data are displayed as Mean ± SEM; one-way ANOVA and Bonferroni’s post hoc comparison test were performed (*p&lt;0.05, **p&lt;0.005, ***p&lt;0.0005, ****p&lt;0.0001).</w:t>
      </w:r>
    </w:p>
    <w:p w14:paraId="12609BC5" w14:textId="77777777" w:rsidR="00481F7C" w:rsidRPr="00EF763A" w:rsidRDefault="00481F7C" w:rsidP="00FC2A70">
      <w:pPr>
        <w:spacing w:line="480" w:lineRule="auto"/>
        <w:jc w:val="both"/>
        <w:rPr>
          <w:rFonts w:ascii="Arial" w:hAnsi="Arial" w:cs="Arial"/>
          <w:sz w:val="24"/>
          <w:lang w:val="en-GB"/>
        </w:rPr>
      </w:pPr>
    </w:p>
    <w:sectPr w:rsidR="00481F7C" w:rsidRPr="00EF763A" w:rsidSect="00452826">
      <w:footerReference w:type="even" r:id="rId8"/>
      <w:footerReference w:type="default" r:id="rId9"/>
      <w:pgSz w:w="11906" w:h="16838"/>
      <w:pgMar w:top="1417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6D134A" w14:textId="77777777" w:rsidR="00944F69" w:rsidRDefault="00944F69" w:rsidP="00452826">
      <w:pPr>
        <w:spacing w:after="0" w:line="240" w:lineRule="auto"/>
      </w:pPr>
      <w:r>
        <w:separator/>
      </w:r>
    </w:p>
  </w:endnote>
  <w:endnote w:type="continuationSeparator" w:id="0">
    <w:p w14:paraId="3C037E74" w14:textId="77777777" w:rsidR="00944F69" w:rsidRDefault="00944F69" w:rsidP="00452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5525841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FFAFF4" w14:textId="1CCA1AEE" w:rsidR="00452826" w:rsidRDefault="00452826" w:rsidP="00BA0FD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6767A2" w14:textId="77777777" w:rsidR="00452826" w:rsidRDefault="00452826" w:rsidP="004528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858406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B2530B5" w14:textId="192ED69C" w:rsidR="00452826" w:rsidRDefault="00452826" w:rsidP="00BA0FD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177C74A" w14:textId="77777777" w:rsidR="00452826" w:rsidRDefault="00452826" w:rsidP="0045282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6CC4B0" w14:textId="77777777" w:rsidR="00944F69" w:rsidRDefault="00944F69" w:rsidP="00452826">
      <w:pPr>
        <w:spacing w:after="0" w:line="240" w:lineRule="auto"/>
      </w:pPr>
      <w:r>
        <w:separator/>
      </w:r>
    </w:p>
  </w:footnote>
  <w:footnote w:type="continuationSeparator" w:id="0">
    <w:p w14:paraId="6928E8EF" w14:textId="77777777" w:rsidR="00944F69" w:rsidRDefault="00944F69" w:rsidP="004528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619"/>
    <w:rsid w:val="00452826"/>
    <w:rsid w:val="00481F7C"/>
    <w:rsid w:val="00613E70"/>
    <w:rsid w:val="007D6A5A"/>
    <w:rsid w:val="00944F69"/>
    <w:rsid w:val="00A36A76"/>
    <w:rsid w:val="00EF763A"/>
    <w:rsid w:val="00F85619"/>
    <w:rsid w:val="00FC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9BC9D6"/>
  <w15:chartTrackingRefBased/>
  <w15:docId w15:val="{ADD04C0E-EA8B-4169-8B1A-ED6CAF84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52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Hyperlink">
    <w:name w:val="Hyperlink"/>
    <w:basedOn w:val="DefaultParagraphFont"/>
    <w:uiPriority w:val="99"/>
    <w:unhideWhenUsed/>
    <w:rsid w:val="0045282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2826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4528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826"/>
  </w:style>
  <w:style w:type="character" w:styleId="PageNumber">
    <w:name w:val="page number"/>
    <w:basedOn w:val="DefaultParagraphFont"/>
    <w:uiPriority w:val="99"/>
    <w:semiHidden/>
    <w:unhideWhenUsed/>
    <w:rsid w:val="00452826"/>
  </w:style>
  <w:style w:type="character" w:styleId="LineNumber">
    <w:name w:val="line number"/>
    <w:basedOn w:val="DefaultParagraphFont"/>
    <w:uiPriority w:val="99"/>
    <w:semiHidden/>
    <w:unhideWhenUsed/>
    <w:rsid w:val="00452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lberto.catanese@uni-ulm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bias.boeckers@uni-ulm.d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Battaglia</dc:creator>
  <cp:keywords/>
  <dc:description/>
  <cp:lastModifiedBy>albertocatanese@gmail.com</cp:lastModifiedBy>
  <cp:revision>3</cp:revision>
  <dcterms:created xsi:type="dcterms:W3CDTF">2020-10-01T12:17:00Z</dcterms:created>
  <dcterms:modified xsi:type="dcterms:W3CDTF">2020-10-01T12:38:00Z</dcterms:modified>
</cp:coreProperties>
</file>