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B1840" w14:textId="77777777" w:rsidR="00A16F94" w:rsidRPr="00D1013C" w:rsidRDefault="00A16F94" w:rsidP="005E77F9">
      <w:pPr>
        <w:snapToGrid w:val="0"/>
        <w:spacing w:afterLines="50" w:after="156" w:line="480" w:lineRule="auto"/>
        <w:rPr>
          <w:rFonts w:ascii="Times New Roman" w:hAnsi="Times New Roman" w:cs="Times New Roman"/>
          <w:b/>
          <w:bCs/>
          <w:color w:val="000000" w:themeColor="text1"/>
          <w:sz w:val="24"/>
          <w:szCs w:val="24"/>
        </w:rPr>
      </w:pPr>
      <w:bookmarkStart w:id="0" w:name="_Hlk54092774"/>
      <w:r w:rsidRPr="00D1013C">
        <w:rPr>
          <w:rFonts w:ascii="Times New Roman" w:hAnsi="Times New Roman" w:cs="Times New Roman"/>
          <w:b/>
          <w:bCs/>
          <w:color w:val="000000" w:themeColor="text1"/>
          <w:sz w:val="24"/>
          <w:szCs w:val="24"/>
        </w:rPr>
        <w:t xml:space="preserve">Supplementary </w:t>
      </w:r>
      <w:bookmarkStart w:id="1" w:name="OLE_LINK37"/>
      <w:bookmarkStart w:id="2" w:name="OLE_LINK38"/>
      <w:bookmarkStart w:id="3" w:name="_Hlk53487998"/>
      <w:bookmarkEnd w:id="0"/>
      <w:r w:rsidRPr="00D1013C">
        <w:rPr>
          <w:rFonts w:ascii="Times New Roman" w:hAnsi="Times New Roman" w:cs="Times New Roman"/>
          <w:b/>
          <w:bCs/>
          <w:color w:val="000000" w:themeColor="text1"/>
          <w:sz w:val="24"/>
          <w:szCs w:val="24"/>
        </w:rPr>
        <w:t>Materials and Methods</w:t>
      </w:r>
      <w:bookmarkStart w:id="4" w:name="_Hlk53489146"/>
      <w:bookmarkEnd w:id="1"/>
      <w:bookmarkEnd w:id="2"/>
      <w:bookmarkEnd w:id="3"/>
    </w:p>
    <w:bookmarkEnd w:id="4"/>
    <w:p w14:paraId="1EB0773C" w14:textId="77777777" w:rsidR="00A16F94" w:rsidRPr="00D1013C" w:rsidRDefault="00A16F94" w:rsidP="005E77F9">
      <w:pPr>
        <w:snapToGrid w:val="0"/>
        <w:spacing w:afterLines="50" w:after="156" w:line="480" w:lineRule="auto"/>
        <w:rPr>
          <w:rFonts w:ascii="Times New Roman" w:hAnsi="Times New Roman" w:cs="Times New Roman"/>
          <w:b/>
          <w:color w:val="000000"/>
          <w:sz w:val="24"/>
          <w:szCs w:val="24"/>
          <w:shd w:val="clear" w:color="auto" w:fill="FFFFFF"/>
        </w:rPr>
      </w:pPr>
      <w:r w:rsidRPr="00D1013C">
        <w:rPr>
          <w:rFonts w:ascii="Times New Roman" w:hAnsi="Times New Roman" w:cs="Times New Roman"/>
          <w:b/>
          <w:color w:val="000000"/>
          <w:sz w:val="24"/>
          <w:szCs w:val="24"/>
          <w:shd w:val="clear" w:color="auto" w:fill="FFFFFF"/>
        </w:rPr>
        <w:t>Mitochondrial tRNA analysis</w:t>
      </w:r>
    </w:p>
    <w:p w14:paraId="72DAFDCE" w14:textId="77777777" w:rsidR="00A16F94" w:rsidRPr="00D1013C" w:rsidRDefault="00A16F94" w:rsidP="005E77F9">
      <w:pPr>
        <w:adjustRightInd w:val="0"/>
        <w:snapToGrid w:val="0"/>
        <w:spacing w:afterLines="50" w:after="156" w:line="480" w:lineRule="auto"/>
        <w:ind w:firstLineChars="150" w:firstLine="360"/>
        <w:rPr>
          <w:rFonts w:ascii="Times New Roman" w:hAnsi="Times New Roman" w:cs="Times New Roman"/>
          <w:color w:val="000000"/>
          <w:sz w:val="24"/>
          <w:szCs w:val="24"/>
          <w:shd w:val="clear" w:color="auto" w:fill="FFFFFF"/>
        </w:rPr>
      </w:pPr>
      <w:r w:rsidRPr="00D1013C">
        <w:rPr>
          <w:rFonts w:ascii="Times New Roman" w:hAnsi="Times New Roman" w:cs="Times New Roman"/>
          <w:sz w:val="24"/>
          <w:szCs w:val="24"/>
          <w:shd w:val="clear" w:color="auto" w:fill="FFFFFF"/>
        </w:rPr>
        <w:t xml:space="preserve">The total RNAs were isolated using </w:t>
      </w:r>
      <w:proofErr w:type="spellStart"/>
      <w:r w:rsidRPr="00D1013C">
        <w:rPr>
          <w:rFonts w:ascii="Times New Roman" w:hAnsi="Times New Roman" w:cs="Times New Roman"/>
          <w:sz w:val="24"/>
          <w:szCs w:val="24"/>
          <w:shd w:val="clear" w:color="auto" w:fill="FFFFFF"/>
        </w:rPr>
        <w:t>TRIzol</w:t>
      </w:r>
      <w:proofErr w:type="spellEnd"/>
      <w:r w:rsidRPr="00D1013C">
        <w:rPr>
          <w:rFonts w:ascii="Times New Roman" w:hAnsi="Times New Roman" w:cs="Times New Roman"/>
          <w:sz w:val="24"/>
          <w:szCs w:val="24"/>
          <w:shd w:val="clear" w:color="auto" w:fill="FFFFFF"/>
        </w:rPr>
        <w:t xml:space="preserve"> reagent (</w:t>
      </w:r>
      <w:proofErr w:type="spellStart"/>
      <w:r w:rsidRPr="00D1013C">
        <w:rPr>
          <w:rFonts w:ascii="Times New Roman" w:hAnsi="Times New Roman" w:cs="Times New Roman"/>
          <w:sz w:val="24"/>
          <w:szCs w:val="24"/>
          <w:shd w:val="clear" w:color="auto" w:fill="FFFFFF"/>
        </w:rPr>
        <w:t>Ambion</w:t>
      </w:r>
      <w:proofErr w:type="spellEnd"/>
      <w:r w:rsidRPr="00D1013C">
        <w:rPr>
          <w:rFonts w:ascii="Times New Roman" w:hAnsi="Times New Roman" w:cs="Times New Roman"/>
          <w:sz w:val="24"/>
          <w:szCs w:val="24"/>
          <w:shd w:val="clear" w:color="auto" w:fill="FFFFFF"/>
        </w:rPr>
        <w:t xml:space="preserve"> Inc.), following the manufacturer’s instructions. Thiouridine modification in the tRNAs was verified by retarding electrophoretic mobility in a </w:t>
      </w:r>
      <w:r w:rsidRPr="00D1013C">
        <w:rPr>
          <w:rFonts w:ascii="Times New Roman" w:hAnsi="Times New Roman" w:cs="Times New Roman"/>
          <w:color w:val="000000"/>
          <w:sz w:val="24"/>
          <w:szCs w:val="24"/>
          <w:shd w:val="clear" w:color="auto" w:fill="FFFFFF"/>
        </w:rPr>
        <w:t>10%</w:t>
      </w:r>
      <w:r w:rsidRPr="00D1013C">
        <w:rPr>
          <w:rFonts w:ascii="Times New Roman" w:hAnsi="Times New Roman" w:cs="Times New Roman"/>
          <w:sz w:val="24"/>
          <w:szCs w:val="24"/>
          <w:shd w:val="clear" w:color="auto" w:fill="FFFFFF"/>
        </w:rPr>
        <w:t xml:space="preserve"> polyacrylamide gel that contains 0.05 mg/ml (N-</w:t>
      </w:r>
      <w:proofErr w:type="spellStart"/>
      <w:r w:rsidRPr="00D1013C">
        <w:rPr>
          <w:rFonts w:ascii="Times New Roman" w:hAnsi="Times New Roman" w:cs="Times New Roman"/>
          <w:sz w:val="24"/>
          <w:szCs w:val="24"/>
          <w:shd w:val="clear" w:color="auto" w:fill="FFFFFF"/>
        </w:rPr>
        <w:t>acryloylaminophenyl</w:t>
      </w:r>
      <w:proofErr w:type="spellEnd"/>
      <w:r w:rsidRPr="00D1013C">
        <w:rPr>
          <w:rFonts w:ascii="Times New Roman" w:hAnsi="Times New Roman" w:cs="Times New Roman"/>
          <w:sz w:val="24"/>
          <w:szCs w:val="24"/>
          <w:shd w:val="clear" w:color="auto" w:fill="FFFFFF"/>
        </w:rPr>
        <w:t>) mercuric chloride (APM)</w:t>
      </w:r>
      <w:r w:rsidRPr="00D1013C">
        <w:rPr>
          <w:rFonts w:ascii="Times New Roman" w:hAnsi="Times New Roman" w:cs="Times New Roman"/>
          <w:noProof/>
          <w:sz w:val="24"/>
          <w:szCs w:val="24"/>
          <w:shd w:val="clear" w:color="auto" w:fill="FFFFFF"/>
          <w:vertAlign w:val="superscript"/>
        </w:rPr>
        <w:t>1,2</w:t>
      </w:r>
      <w:r w:rsidRPr="00D1013C">
        <w:rPr>
          <w:rFonts w:ascii="Times New Roman" w:hAnsi="Times New Roman" w:cs="Times New Roman"/>
          <w:sz w:val="24"/>
          <w:szCs w:val="24"/>
          <w:shd w:val="clear" w:color="auto" w:fill="FFFFFF"/>
        </w:rPr>
        <w:t>.</w:t>
      </w:r>
      <w:r w:rsidRPr="00D1013C">
        <w:rPr>
          <w:rFonts w:ascii="Times New Roman" w:hAnsi="Times New Roman" w:cs="Times New Roman"/>
          <w:color w:val="000000"/>
          <w:sz w:val="24"/>
          <w:szCs w:val="24"/>
          <w:shd w:val="clear" w:color="auto" w:fill="FFFFFF"/>
        </w:rPr>
        <w:t xml:space="preserve"> The </w:t>
      </w:r>
      <w:r w:rsidRPr="00D1013C">
        <w:rPr>
          <w:rFonts w:ascii="Times New Roman" w:hAnsi="Times New Roman" w:cs="Times New Roman"/>
          <w:sz w:val="24"/>
          <w:szCs w:val="24"/>
          <w:shd w:val="clear" w:color="auto" w:fill="FFFFFF"/>
        </w:rPr>
        <w:t xml:space="preserve">RNAs were separated by polyacrylamide gel electrophoresis and </w:t>
      </w:r>
      <w:r w:rsidRPr="00D1013C">
        <w:rPr>
          <w:rFonts w:ascii="Times New Roman" w:hAnsi="Times New Roman" w:cs="Times New Roman"/>
          <w:color w:val="000000"/>
          <w:sz w:val="24"/>
          <w:szCs w:val="24"/>
          <w:shd w:val="clear" w:color="auto" w:fill="FFFFFF"/>
        </w:rPr>
        <w:t>electroblotted</w:t>
      </w:r>
      <w:r w:rsidRPr="00D1013C">
        <w:rPr>
          <w:rFonts w:ascii="Times New Roman" w:hAnsi="Times New Roman" w:cs="Times New Roman"/>
          <w:sz w:val="24"/>
          <w:szCs w:val="24"/>
          <w:shd w:val="clear" w:color="auto" w:fill="FFFFFF"/>
        </w:rPr>
        <w:t xml:space="preserve"> onto a positively charged membrane </w:t>
      </w:r>
      <w:r w:rsidRPr="00D1013C">
        <w:rPr>
          <w:rFonts w:ascii="Times New Roman" w:hAnsi="Times New Roman" w:cs="Times New Roman"/>
          <w:color w:val="000000" w:themeColor="text1"/>
          <w:sz w:val="24"/>
          <w:szCs w:val="24"/>
          <w:shd w:val="clear" w:color="auto" w:fill="FFFFFF"/>
        </w:rPr>
        <w:t>(Millipore</w:t>
      </w:r>
      <w:r w:rsidRPr="00D1013C">
        <w:rPr>
          <w:rFonts w:ascii="Times New Roman" w:hAnsi="Times New Roman" w:cs="Times New Roman"/>
          <w:color w:val="000000"/>
          <w:sz w:val="24"/>
          <w:szCs w:val="24"/>
          <w:shd w:val="clear" w:color="auto" w:fill="FFFFFF"/>
        </w:rPr>
        <w:t>) for hybridization analysis using oligodeoxynucleotide probes</w:t>
      </w:r>
      <w:r w:rsidRPr="00D1013C">
        <w:rPr>
          <w:rFonts w:ascii="Times New Roman" w:hAnsi="Times New Roman" w:cs="Times New Roman"/>
          <w:sz w:val="24"/>
          <w:szCs w:val="24"/>
          <w:shd w:val="clear" w:color="auto" w:fill="FFFFFF"/>
        </w:rPr>
        <w:t>.</w:t>
      </w:r>
      <w:r w:rsidRPr="00D1013C">
        <w:rPr>
          <w:rFonts w:ascii="Times New Roman" w:hAnsi="Times New Roman" w:cs="Times New Roman"/>
          <w:color w:val="000000"/>
          <w:sz w:val="24"/>
          <w:szCs w:val="24"/>
          <w:shd w:val="clear" w:color="auto" w:fill="FFFFFF"/>
        </w:rPr>
        <w:t xml:space="preserve"> The sequences of DIG-labeled oligodeoxynucleotide probes were complementary to mouse mitochondrial tRNAs which were consulted from Genomic tRNA Database (</w:t>
      </w:r>
      <w:proofErr w:type="spellStart"/>
      <w:r w:rsidRPr="00D1013C">
        <w:rPr>
          <w:rFonts w:ascii="Times New Roman" w:hAnsi="Times New Roman" w:cs="Times New Roman"/>
          <w:color w:val="000000"/>
          <w:sz w:val="24"/>
          <w:szCs w:val="24"/>
          <w:shd w:val="clear" w:color="auto" w:fill="FFFFFF"/>
        </w:rPr>
        <w:t>GtRNAdb</w:t>
      </w:r>
      <w:proofErr w:type="spellEnd"/>
      <w:r w:rsidRPr="00D1013C">
        <w:rPr>
          <w:rFonts w:ascii="Times New Roman" w:hAnsi="Times New Roman" w:cs="Times New Roman"/>
          <w:color w:val="000000"/>
          <w:sz w:val="24"/>
          <w:szCs w:val="24"/>
          <w:shd w:val="clear" w:color="auto" w:fill="FFFFFF"/>
        </w:rPr>
        <w:t>). The</w:t>
      </w:r>
      <w:r w:rsidRPr="00D1013C">
        <w:rPr>
          <w:rFonts w:ascii="Times New Roman" w:hAnsi="Times New Roman" w:cs="Times New Roman"/>
          <w:sz w:val="24"/>
          <w:szCs w:val="24"/>
          <w:shd w:val="clear" w:color="auto" w:fill="FFFFFF"/>
        </w:rPr>
        <w:t xml:space="preserve"> tRNA-specific oligodeoxynucleotide probe sequences are shown in Supplementary Table S1.</w:t>
      </w:r>
      <w:r w:rsidRPr="00D1013C">
        <w:rPr>
          <w:rFonts w:ascii="Times New Roman" w:hAnsi="Times New Roman" w:cs="Times New Roman"/>
          <w:color w:val="000000" w:themeColor="text1"/>
          <w:sz w:val="24"/>
          <w:szCs w:val="24"/>
        </w:rPr>
        <w:t xml:space="preserve"> Gel electrophoresis, membrane hybridization, and density quantification in each band were conducted as previously described</w:t>
      </w:r>
      <w:r w:rsidRPr="00D1013C">
        <w:rPr>
          <w:rFonts w:ascii="Times New Roman" w:hAnsi="Times New Roman" w:cs="Times New Roman"/>
          <w:noProof/>
          <w:color w:val="000000" w:themeColor="text1"/>
          <w:sz w:val="24"/>
          <w:szCs w:val="24"/>
          <w:vertAlign w:val="superscript"/>
        </w:rPr>
        <w:t>3</w:t>
      </w:r>
      <w:r w:rsidRPr="00D1013C">
        <w:rPr>
          <w:rFonts w:ascii="Times New Roman" w:hAnsi="Times New Roman" w:cs="Times New Roman"/>
          <w:color w:val="000000" w:themeColor="text1"/>
          <w:sz w:val="24"/>
          <w:szCs w:val="24"/>
        </w:rPr>
        <w:t xml:space="preserve">. Band intensities were quantified from the 16-bit digital image by densitometry in </w:t>
      </w:r>
      <w:bookmarkStart w:id="5" w:name="OLE_LINK1"/>
      <w:bookmarkStart w:id="6" w:name="OLE_LINK2"/>
      <w:r w:rsidRPr="00D1013C">
        <w:rPr>
          <w:rFonts w:ascii="Times New Roman" w:hAnsi="Times New Roman" w:cs="Times New Roman"/>
          <w:color w:val="000000" w:themeColor="text1"/>
          <w:sz w:val="24"/>
          <w:szCs w:val="24"/>
        </w:rPr>
        <w:t>ImageJ</w:t>
      </w:r>
      <w:bookmarkEnd w:id="5"/>
      <w:bookmarkEnd w:id="6"/>
      <w:r w:rsidRPr="00D1013C">
        <w:rPr>
          <w:rFonts w:ascii="Times New Roman" w:hAnsi="Times New Roman" w:cs="Times New Roman"/>
          <w:color w:val="000000" w:themeColor="text1"/>
          <w:sz w:val="24"/>
          <w:szCs w:val="24"/>
        </w:rPr>
        <w:t>.</w:t>
      </w:r>
    </w:p>
    <w:p w14:paraId="5647ACD7" w14:textId="77777777" w:rsidR="00A16F94" w:rsidRPr="00D1013C" w:rsidRDefault="00A16F94" w:rsidP="005E77F9">
      <w:pPr>
        <w:snapToGrid w:val="0"/>
        <w:spacing w:afterLines="50" w:after="156" w:line="480" w:lineRule="auto"/>
        <w:rPr>
          <w:rFonts w:ascii="Times New Roman" w:hAnsi="Times New Roman" w:cs="Times New Roman"/>
          <w:color w:val="000000" w:themeColor="text1"/>
          <w:sz w:val="24"/>
          <w:szCs w:val="24"/>
        </w:rPr>
      </w:pPr>
      <w:r w:rsidRPr="00D1013C">
        <w:rPr>
          <w:rFonts w:ascii="Times New Roman" w:hAnsi="Times New Roman" w:cs="Times New Roman"/>
          <w:b/>
          <w:bCs/>
          <w:color w:val="000000" w:themeColor="text1"/>
          <w:sz w:val="24"/>
          <w:szCs w:val="24"/>
        </w:rPr>
        <w:t>Osteogenic differentiation</w:t>
      </w:r>
    </w:p>
    <w:p w14:paraId="16BE8841" w14:textId="77777777" w:rsidR="00A16F94" w:rsidRPr="00D1013C" w:rsidRDefault="00A16F94" w:rsidP="005E77F9">
      <w:pPr>
        <w:snapToGrid w:val="0"/>
        <w:spacing w:afterLines="50" w:after="156" w:line="480" w:lineRule="auto"/>
        <w:ind w:firstLineChars="150" w:firstLine="360"/>
        <w:rPr>
          <w:rFonts w:ascii="Times New Roman" w:hAnsi="Times New Roman" w:cs="Times New Roman"/>
          <w:b/>
          <w:bCs/>
          <w:color w:val="000000" w:themeColor="text1"/>
          <w:sz w:val="24"/>
          <w:szCs w:val="24"/>
        </w:rPr>
      </w:pPr>
      <w:r w:rsidRPr="00D1013C">
        <w:rPr>
          <w:rFonts w:ascii="Times New Roman" w:hAnsi="Times New Roman" w:cs="Times New Roman"/>
          <w:color w:val="000000" w:themeColor="text1"/>
          <w:sz w:val="24"/>
          <w:szCs w:val="24"/>
        </w:rPr>
        <w:t xml:space="preserve">Cells were plated in 12 well-plates at a density of 2 </w:t>
      </w:r>
      <m:oMath>
        <m:r>
          <w:rPr>
            <w:rFonts w:ascii="Cambria Math" w:hAnsi="Cambria Math" w:cs="Times New Roman"/>
            <w:color w:val="000000" w:themeColor="text1"/>
            <w:sz w:val="24"/>
            <w:szCs w:val="24"/>
          </w:rPr>
          <m:t>×</m:t>
        </m:r>
      </m:oMath>
      <w:r w:rsidRPr="00D1013C">
        <w:rPr>
          <w:rFonts w:ascii="Times New Roman" w:hAnsi="Times New Roman" w:cs="Times New Roman"/>
          <w:color w:val="000000" w:themeColor="text1"/>
          <w:sz w:val="24"/>
          <w:szCs w:val="24"/>
        </w:rPr>
        <w:t xml:space="preserve"> 10</w:t>
      </w:r>
      <w:r w:rsidRPr="00D1013C">
        <w:rPr>
          <w:rFonts w:ascii="Times New Roman" w:hAnsi="Times New Roman" w:cs="Times New Roman"/>
          <w:color w:val="000000" w:themeColor="text1"/>
          <w:sz w:val="24"/>
          <w:szCs w:val="24"/>
          <w:vertAlign w:val="superscript"/>
        </w:rPr>
        <w:t>4</w:t>
      </w:r>
      <w:r w:rsidRPr="00D1013C">
        <w:rPr>
          <w:rFonts w:ascii="Times New Roman" w:hAnsi="Times New Roman" w:cs="Times New Roman"/>
          <w:color w:val="000000" w:themeColor="text1"/>
          <w:sz w:val="24"/>
          <w:szCs w:val="24"/>
        </w:rPr>
        <w:t>/cm</w:t>
      </w:r>
      <w:r w:rsidRPr="00D1013C">
        <w:rPr>
          <w:rFonts w:ascii="Times New Roman" w:hAnsi="Times New Roman" w:cs="Times New Roman"/>
          <w:color w:val="000000" w:themeColor="text1"/>
          <w:sz w:val="24"/>
          <w:szCs w:val="24"/>
          <w:vertAlign w:val="superscript"/>
        </w:rPr>
        <w:t>2</w:t>
      </w:r>
      <w:r w:rsidRPr="00D1013C">
        <w:rPr>
          <w:rFonts w:ascii="Times New Roman" w:hAnsi="Times New Roman" w:cs="Times New Roman"/>
          <w:color w:val="000000" w:themeColor="text1"/>
          <w:sz w:val="24"/>
          <w:szCs w:val="24"/>
        </w:rPr>
        <w:t xml:space="preserve"> with 2mL culture medium. Afterwards, the cells stimulated to undergo differentiation were cultured in basal medium supplemented with 10 mM</w:t>
      </w:r>
      <w:r w:rsidRPr="00902F0E">
        <w:rPr>
          <w:rFonts w:ascii="Times New Roman" w:hAnsi="Times New Roman" w:cs="Times New Roman"/>
          <w:color w:val="000000" w:themeColor="text1"/>
          <w:sz w:val="24"/>
          <w:szCs w:val="24"/>
        </w:rPr>
        <w:t xml:space="preserve"> ꞵ-g</w:t>
      </w:r>
      <w:r w:rsidRPr="00D1013C">
        <w:rPr>
          <w:rFonts w:ascii="Times New Roman" w:hAnsi="Times New Roman" w:cs="Times New Roman"/>
          <w:color w:val="000000" w:themeColor="text1"/>
          <w:sz w:val="24"/>
          <w:szCs w:val="24"/>
        </w:rPr>
        <w:t>lycerophosphate, 0.1 µM dexamethasone, and 50 µM vitamin C. After 21 days of differentiation, the cells were ﬁxed in 4% paraformaldehyde for 30 min and then washed with PBS, and the mineralized deposits in the matrix were visualized by 0.1% Alizarin Red S after 30 min of staining.</w:t>
      </w:r>
    </w:p>
    <w:p w14:paraId="267DD86B" w14:textId="77777777" w:rsidR="00A16F94" w:rsidRPr="00D1013C" w:rsidRDefault="00A16F94" w:rsidP="005E77F9">
      <w:pPr>
        <w:snapToGrid w:val="0"/>
        <w:spacing w:afterLines="50" w:after="156" w:line="480" w:lineRule="auto"/>
        <w:rPr>
          <w:rFonts w:ascii="Times New Roman" w:hAnsi="Times New Roman" w:cs="Times New Roman"/>
          <w:color w:val="000000" w:themeColor="text1"/>
          <w:sz w:val="24"/>
          <w:szCs w:val="24"/>
        </w:rPr>
      </w:pPr>
      <w:proofErr w:type="spellStart"/>
      <w:r w:rsidRPr="00D1013C">
        <w:rPr>
          <w:rFonts w:ascii="Times New Roman" w:hAnsi="Times New Roman" w:cs="Times New Roman"/>
          <w:b/>
          <w:bCs/>
          <w:color w:val="000000" w:themeColor="text1"/>
          <w:sz w:val="24"/>
          <w:szCs w:val="24"/>
        </w:rPr>
        <w:t>Adipogenic</w:t>
      </w:r>
      <w:proofErr w:type="spellEnd"/>
      <w:r w:rsidRPr="00D1013C">
        <w:rPr>
          <w:rFonts w:ascii="Times New Roman" w:hAnsi="Times New Roman" w:cs="Times New Roman"/>
          <w:b/>
          <w:bCs/>
          <w:color w:val="000000" w:themeColor="text1"/>
          <w:sz w:val="24"/>
          <w:szCs w:val="24"/>
        </w:rPr>
        <w:t xml:space="preserve"> differentiation</w:t>
      </w:r>
    </w:p>
    <w:p w14:paraId="44E43A31" w14:textId="77777777" w:rsidR="00A16F94" w:rsidRPr="00D1013C" w:rsidRDefault="00A16F94" w:rsidP="005E77F9">
      <w:pPr>
        <w:snapToGrid w:val="0"/>
        <w:spacing w:afterLines="50" w:after="156" w:line="480" w:lineRule="auto"/>
        <w:ind w:firstLineChars="150" w:firstLine="360"/>
        <w:rPr>
          <w:rFonts w:ascii="Times New Roman" w:hAnsi="Times New Roman" w:cs="Times New Roman"/>
          <w:color w:val="000000" w:themeColor="text1"/>
          <w:sz w:val="24"/>
          <w:szCs w:val="24"/>
        </w:rPr>
      </w:pPr>
      <w:r w:rsidRPr="00D1013C">
        <w:rPr>
          <w:rFonts w:ascii="Times New Roman" w:hAnsi="Times New Roman" w:cs="Times New Roman"/>
          <w:color w:val="000000" w:themeColor="text1"/>
          <w:sz w:val="24"/>
          <w:szCs w:val="24"/>
        </w:rPr>
        <w:lastRenderedPageBreak/>
        <w:t xml:space="preserve">Cells were plated in 12 well plates at a density of 2 </w:t>
      </w:r>
      <m:oMath>
        <m:r>
          <w:rPr>
            <w:rFonts w:ascii="Cambria Math" w:hAnsi="Cambria Math" w:cs="Times New Roman"/>
            <w:color w:val="000000" w:themeColor="text1"/>
            <w:sz w:val="24"/>
            <w:szCs w:val="24"/>
          </w:rPr>
          <m:t>×</m:t>
        </m:r>
      </m:oMath>
      <w:r w:rsidRPr="00D1013C">
        <w:rPr>
          <w:rFonts w:ascii="Times New Roman" w:hAnsi="Times New Roman" w:cs="Times New Roman"/>
          <w:color w:val="000000" w:themeColor="text1"/>
          <w:sz w:val="24"/>
          <w:szCs w:val="24"/>
        </w:rPr>
        <w:t xml:space="preserve"> 10</w:t>
      </w:r>
      <w:r w:rsidRPr="00D1013C">
        <w:rPr>
          <w:rFonts w:ascii="Times New Roman" w:hAnsi="Times New Roman" w:cs="Times New Roman"/>
          <w:color w:val="000000" w:themeColor="text1"/>
          <w:sz w:val="24"/>
          <w:szCs w:val="24"/>
          <w:vertAlign w:val="superscript"/>
        </w:rPr>
        <w:t>4</w:t>
      </w:r>
      <w:r w:rsidRPr="00D1013C">
        <w:rPr>
          <w:rFonts w:ascii="Times New Roman" w:hAnsi="Times New Roman" w:cs="Times New Roman"/>
          <w:color w:val="000000" w:themeColor="text1"/>
          <w:sz w:val="24"/>
          <w:szCs w:val="24"/>
        </w:rPr>
        <w:t>/cm</w:t>
      </w:r>
      <w:r w:rsidRPr="00D1013C">
        <w:rPr>
          <w:rFonts w:ascii="Times New Roman" w:hAnsi="Times New Roman" w:cs="Times New Roman"/>
          <w:color w:val="000000" w:themeColor="text1"/>
          <w:sz w:val="24"/>
          <w:szCs w:val="24"/>
          <w:vertAlign w:val="superscript"/>
        </w:rPr>
        <w:t>2</w:t>
      </w:r>
      <w:r w:rsidRPr="00D1013C">
        <w:rPr>
          <w:rFonts w:ascii="Times New Roman" w:hAnsi="Times New Roman" w:cs="Times New Roman"/>
          <w:color w:val="000000" w:themeColor="text1"/>
          <w:sz w:val="24"/>
          <w:szCs w:val="24"/>
        </w:rPr>
        <w:t xml:space="preserve"> on culture dishes with 2mL culture medium. For </w:t>
      </w:r>
      <w:proofErr w:type="spellStart"/>
      <w:r w:rsidRPr="00D1013C">
        <w:rPr>
          <w:rFonts w:ascii="Times New Roman" w:hAnsi="Times New Roman" w:cs="Times New Roman"/>
          <w:color w:val="000000" w:themeColor="text1"/>
          <w:sz w:val="24"/>
          <w:szCs w:val="24"/>
        </w:rPr>
        <w:t>adipogenic</w:t>
      </w:r>
      <w:proofErr w:type="spellEnd"/>
      <w:r w:rsidRPr="00D1013C">
        <w:rPr>
          <w:rFonts w:ascii="Times New Roman" w:hAnsi="Times New Roman" w:cs="Times New Roman"/>
          <w:color w:val="000000" w:themeColor="text1"/>
          <w:sz w:val="24"/>
          <w:szCs w:val="24"/>
        </w:rPr>
        <w:t xml:space="preserve"> differentiation, the cells were cultured in basal medium containing 10 ng/mL insulin, 1 µM dexamethasone, 0.5 µM 3-isobutyl-1-methylxanthine, and 0.1 mM indomethacin. After 14 days of differentiation, the cells were ﬁxed in 4% paraformaldehyde for 30 min, then washed in 70% isopropanol, and stained with 0.3% Oil Red O for 1 h to visualize lipid vacuoles.</w:t>
      </w:r>
    </w:p>
    <w:p w14:paraId="4A233928" w14:textId="77777777" w:rsidR="00A16F94" w:rsidRPr="00D1013C" w:rsidRDefault="00A16F94" w:rsidP="005E77F9">
      <w:pPr>
        <w:snapToGrid w:val="0"/>
        <w:spacing w:afterLines="50" w:after="156" w:line="480" w:lineRule="auto"/>
        <w:rPr>
          <w:rFonts w:ascii="Times New Roman" w:hAnsi="Times New Roman" w:cs="Times New Roman"/>
          <w:b/>
          <w:bCs/>
          <w:color w:val="000000" w:themeColor="text1"/>
          <w:sz w:val="24"/>
          <w:szCs w:val="24"/>
        </w:rPr>
      </w:pPr>
      <w:r w:rsidRPr="00D1013C">
        <w:rPr>
          <w:rFonts w:ascii="Times New Roman" w:hAnsi="Times New Roman" w:cs="Times New Roman"/>
          <w:b/>
          <w:bCs/>
          <w:color w:val="000000" w:themeColor="text1"/>
          <w:sz w:val="24"/>
          <w:szCs w:val="24"/>
        </w:rPr>
        <w:t>Mitochondrial respiratory chain enzyme analysis</w:t>
      </w:r>
    </w:p>
    <w:p w14:paraId="44549025" w14:textId="77777777" w:rsidR="00A16F94" w:rsidRPr="00D1013C" w:rsidRDefault="00A16F94" w:rsidP="005E77F9">
      <w:pPr>
        <w:snapToGrid w:val="0"/>
        <w:spacing w:afterLines="50" w:after="156" w:line="480" w:lineRule="auto"/>
        <w:ind w:firstLineChars="150" w:firstLine="360"/>
        <w:rPr>
          <w:rFonts w:ascii="Times New Roman" w:hAnsi="Times New Roman" w:cs="Times New Roman"/>
          <w:color w:val="000000" w:themeColor="text1"/>
          <w:sz w:val="24"/>
          <w:szCs w:val="24"/>
        </w:rPr>
      </w:pPr>
      <w:r w:rsidRPr="00D1013C">
        <w:rPr>
          <w:rFonts w:ascii="Times New Roman" w:hAnsi="Times New Roman" w:cs="Times New Roman"/>
          <w:color w:val="000000" w:themeColor="text1"/>
          <w:sz w:val="24"/>
          <w:szCs w:val="24"/>
        </w:rPr>
        <w:t xml:space="preserve">Citrate synthase activity was analyzed by the reduction of 5,5′-dithiobis-2-nitrobenzoic acid at 412 nm in the assay buffer containing 0.1 mM DTNB, 50 </w:t>
      </w:r>
      <w:proofErr w:type="spellStart"/>
      <w:r w:rsidRPr="00D1013C">
        <w:rPr>
          <w:rFonts w:ascii="Times New Roman" w:hAnsi="Times New Roman" w:cs="Times New Roman"/>
          <w:color w:val="000000" w:themeColor="text1"/>
          <w:sz w:val="24"/>
          <w:szCs w:val="24"/>
        </w:rPr>
        <w:t>μM</w:t>
      </w:r>
      <w:proofErr w:type="spellEnd"/>
      <w:r w:rsidRPr="00D1013C">
        <w:rPr>
          <w:rFonts w:ascii="Times New Roman" w:hAnsi="Times New Roman" w:cs="Times New Roman"/>
          <w:color w:val="000000" w:themeColor="text1"/>
          <w:sz w:val="24"/>
          <w:szCs w:val="24"/>
        </w:rPr>
        <w:t xml:space="preserve"> acetyl coenzyme A, and 250 </w:t>
      </w:r>
      <w:proofErr w:type="spellStart"/>
      <w:r w:rsidRPr="00D1013C">
        <w:rPr>
          <w:rFonts w:ascii="Times New Roman" w:hAnsi="Times New Roman" w:cs="Times New Roman"/>
          <w:color w:val="000000" w:themeColor="text1"/>
          <w:sz w:val="24"/>
          <w:szCs w:val="24"/>
        </w:rPr>
        <w:t>μM</w:t>
      </w:r>
      <w:proofErr w:type="spellEnd"/>
      <w:r w:rsidRPr="00D1013C">
        <w:rPr>
          <w:rFonts w:ascii="Times New Roman" w:hAnsi="Times New Roman" w:cs="Times New Roman"/>
          <w:color w:val="000000" w:themeColor="text1"/>
          <w:sz w:val="24"/>
          <w:szCs w:val="24"/>
        </w:rPr>
        <w:t xml:space="preserve"> oxaloacetate. Complex I activity was determined with 10 </w:t>
      </w:r>
      <w:proofErr w:type="spellStart"/>
      <w:r w:rsidRPr="00D1013C">
        <w:rPr>
          <w:rFonts w:ascii="Times New Roman" w:hAnsi="Times New Roman" w:cs="Times New Roman"/>
          <w:color w:val="000000" w:themeColor="text1"/>
          <w:sz w:val="24"/>
          <w:szCs w:val="24"/>
        </w:rPr>
        <w:t>μg</w:t>
      </w:r>
      <w:proofErr w:type="spellEnd"/>
      <w:r w:rsidRPr="00D1013C">
        <w:rPr>
          <w:rFonts w:ascii="Times New Roman" w:hAnsi="Times New Roman" w:cs="Times New Roman"/>
          <w:color w:val="000000" w:themeColor="text1"/>
          <w:sz w:val="24"/>
          <w:szCs w:val="24"/>
        </w:rPr>
        <w:t xml:space="preserve">/ml antimycin A and 2 mM KCN by following the absorbance decrease due to NADH oxidation at 340 nm in the assay buffer. The activity of Complex II was analyzed by tracking the secondary reduction of 2,6-dichlorophenolindophenol by DB at 600 nm in the assay buffer. Complex III activity was determined in the presence of 2 </w:t>
      </w:r>
      <w:proofErr w:type="spellStart"/>
      <w:r w:rsidRPr="00D1013C">
        <w:rPr>
          <w:rFonts w:ascii="Times New Roman" w:hAnsi="Times New Roman" w:cs="Times New Roman"/>
          <w:color w:val="000000" w:themeColor="text1"/>
          <w:sz w:val="24"/>
          <w:szCs w:val="24"/>
        </w:rPr>
        <w:t>μg</w:t>
      </w:r>
      <w:proofErr w:type="spellEnd"/>
      <w:r w:rsidRPr="00D1013C">
        <w:rPr>
          <w:rFonts w:ascii="Times New Roman" w:hAnsi="Times New Roman" w:cs="Times New Roman"/>
          <w:color w:val="000000" w:themeColor="text1"/>
          <w:sz w:val="24"/>
          <w:szCs w:val="24"/>
        </w:rPr>
        <w:t xml:space="preserve">/ml antimycin A and 2 mM KCN by measuring cytochrome c reduction at 550 nm with reduced </w:t>
      </w:r>
      <w:proofErr w:type="spellStart"/>
      <w:r w:rsidRPr="00D1013C">
        <w:rPr>
          <w:rFonts w:ascii="Times New Roman" w:hAnsi="Times New Roman" w:cs="Times New Roman"/>
          <w:color w:val="000000" w:themeColor="text1"/>
          <w:sz w:val="24"/>
          <w:szCs w:val="24"/>
        </w:rPr>
        <w:t>decylubiquinone</w:t>
      </w:r>
      <w:proofErr w:type="spellEnd"/>
      <w:r w:rsidRPr="00D1013C">
        <w:rPr>
          <w:rFonts w:ascii="Times New Roman" w:hAnsi="Times New Roman" w:cs="Times New Roman"/>
          <w:color w:val="000000" w:themeColor="text1"/>
          <w:sz w:val="24"/>
          <w:szCs w:val="24"/>
        </w:rPr>
        <w:t xml:space="preserve"> in the assay buffer. Complex IV activity was measured by monitoring the oxidation of reduced cytochrome c as a decrease of absorbance at 550 nm in the assay buffer. All assays were performed using Synergy H1 (</w:t>
      </w:r>
      <w:proofErr w:type="spellStart"/>
      <w:r w:rsidRPr="00D1013C">
        <w:rPr>
          <w:rFonts w:ascii="Times New Roman" w:hAnsi="Times New Roman" w:cs="Times New Roman"/>
          <w:color w:val="000000" w:themeColor="text1"/>
          <w:sz w:val="24"/>
          <w:szCs w:val="24"/>
        </w:rPr>
        <w:t>BioTek</w:t>
      </w:r>
      <w:proofErr w:type="spellEnd"/>
      <w:r w:rsidRPr="00D1013C">
        <w:rPr>
          <w:rFonts w:ascii="Times New Roman" w:hAnsi="Times New Roman" w:cs="Times New Roman"/>
          <w:color w:val="000000" w:themeColor="text1"/>
          <w:sz w:val="24"/>
          <w:szCs w:val="24"/>
        </w:rPr>
        <w:t>). Complex I−V activities were normalized by citrate synthase activity</w:t>
      </w:r>
      <w:r w:rsidRPr="00D1013C">
        <w:rPr>
          <w:rFonts w:ascii="Times New Roman" w:hAnsi="Times New Roman" w:cs="Times New Roman"/>
          <w:noProof/>
          <w:color w:val="000000" w:themeColor="text1"/>
          <w:sz w:val="24"/>
          <w:szCs w:val="24"/>
          <w:vertAlign w:val="superscript"/>
        </w:rPr>
        <w:t>4</w:t>
      </w:r>
      <w:r w:rsidRPr="00D1013C">
        <w:rPr>
          <w:rFonts w:ascii="Times New Roman" w:hAnsi="Times New Roman" w:cs="Times New Roman"/>
          <w:color w:val="000000" w:themeColor="text1"/>
          <w:sz w:val="24"/>
          <w:szCs w:val="24"/>
        </w:rPr>
        <w:t>.</w:t>
      </w:r>
    </w:p>
    <w:p w14:paraId="7B2AA265" w14:textId="77777777" w:rsidR="00A16F94" w:rsidRPr="00D1013C" w:rsidRDefault="00A16F94" w:rsidP="005E77F9">
      <w:pPr>
        <w:snapToGrid w:val="0"/>
        <w:spacing w:afterLines="50" w:after="156" w:line="480" w:lineRule="auto"/>
        <w:rPr>
          <w:rFonts w:ascii="Times New Roman" w:hAnsi="Times New Roman" w:cs="Times New Roman"/>
          <w:b/>
          <w:color w:val="000000" w:themeColor="text1"/>
          <w:sz w:val="24"/>
          <w:szCs w:val="24"/>
        </w:rPr>
      </w:pPr>
      <w:r w:rsidRPr="00D1013C">
        <w:rPr>
          <w:rFonts w:ascii="Times New Roman" w:hAnsi="Times New Roman" w:cs="Times New Roman"/>
          <w:b/>
          <w:color w:val="000000" w:themeColor="text1"/>
          <w:sz w:val="24"/>
          <w:szCs w:val="24"/>
        </w:rPr>
        <w:t>Oxygen consumption measurements</w:t>
      </w:r>
    </w:p>
    <w:p w14:paraId="2DA4FD6B" w14:textId="77777777" w:rsidR="00A16F94" w:rsidRPr="00D1013C" w:rsidRDefault="00A16F94" w:rsidP="005E77F9">
      <w:pPr>
        <w:snapToGrid w:val="0"/>
        <w:spacing w:afterLines="50" w:after="156" w:line="480" w:lineRule="auto"/>
        <w:ind w:firstLineChars="150" w:firstLine="360"/>
        <w:rPr>
          <w:rFonts w:ascii="Times New Roman" w:hAnsi="Times New Roman" w:cs="Times New Roman"/>
          <w:color w:val="000000" w:themeColor="text1"/>
          <w:sz w:val="24"/>
          <w:szCs w:val="24"/>
        </w:rPr>
      </w:pPr>
      <w:r w:rsidRPr="00D1013C">
        <w:rPr>
          <w:rFonts w:ascii="Times New Roman" w:hAnsi="Times New Roman" w:cs="Times New Roman"/>
          <w:color w:val="000000" w:themeColor="text1"/>
          <w:sz w:val="24"/>
          <w:szCs w:val="24"/>
        </w:rPr>
        <w:t>The MSC OCRs were assayed with a Seahorse Bioscience XF-96 extracellular flux analyzer (Seahorse Bioscience), as previously described</w:t>
      </w:r>
      <w:r w:rsidRPr="00D1013C">
        <w:rPr>
          <w:rFonts w:ascii="Times New Roman" w:hAnsi="Times New Roman" w:cs="Times New Roman"/>
          <w:noProof/>
          <w:color w:val="000000" w:themeColor="text1"/>
          <w:sz w:val="24"/>
          <w:szCs w:val="24"/>
          <w:vertAlign w:val="superscript"/>
        </w:rPr>
        <w:t>5,6</w:t>
      </w:r>
      <w:r w:rsidRPr="00D1013C">
        <w:rPr>
          <w:rFonts w:ascii="Times New Roman" w:hAnsi="Times New Roman" w:cs="Times New Roman"/>
          <w:color w:val="000000" w:themeColor="text1"/>
          <w:sz w:val="24"/>
          <w:szCs w:val="24"/>
        </w:rPr>
        <w:t>. The protein content of each well was then measured to normalize OCR values.</w:t>
      </w:r>
    </w:p>
    <w:p w14:paraId="2D9ACE1C" w14:textId="77777777" w:rsidR="00A16F94" w:rsidRPr="00D1013C" w:rsidRDefault="00A16F94" w:rsidP="005E77F9">
      <w:pPr>
        <w:snapToGrid w:val="0"/>
        <w:spacing w:afterLines="50" w:after="156" w:line="480" w:lineRule="auto"/>
        <w:rPr>
          <w:rFonts w:ascii="Times New Roman" w:hAnsi="Times New Roman" w:cs="Times New Roman"/>
          <w:color w:val="000000" w:themeColor="text1"/>
          <w:sz w:val="24"/>
          <w:szCs w:val="24"/>
        </w:rPr>
      </w:pPr>
      <w:r w:rsidRPr="00D1013C">
        <w:rPr>
          <w:rFonts w:ascii="Times New Roman" w:hAnsi="Times New Roman" w:cs="Times New Roman"/>
          <w:b/>
          <w:color w:val="000000" w:themeColor="text1"/>
          <w:sz w:val="24"/>
          <w:szCs w:val="24"/>
        </w:rPr>
        <w:t>Mitochondrial ATP level assessment</w:t>
      </w:r>
    </w:p>
    <w:p w14:paraId="26E1D2A7" w14:textId="77777777" w:rsidR="00A16F94" w:rsidRPr="00D1013C" w:rsidRDefault="00A16F94" w:rsidP="005E77F9">
      <w:pPr>
        <w:snapToGrid w:val="0"/>
        <w:spacing w:afterLines="50" w:after="156" w:line="480" w:lineRule="auto"/>
        <w:ind w:firstLineChars="150" w:firstLine="360"/>
        <w:rPr>
          <w:rFonts w:ascii="Times New Roman" w:hAnsi="Times New Roman" w:cs="Times New Roman"/>
          <w:color w:val="000000" w:themeColor="text1"/>
          <w:sz w:val="24"/>
          <w:szCs w:val="24"/>
        </w:rPr>
      </w:pPr>
      <w:r w:rsidRPr="00D1013C">
        <w:rPr>
          <w:rFonts w:ascii="Times New Roman" w:hAnsi="Times New Roman" w:cs="Times New Roman"/>
          <w:color w:val="000000" w:themeColor="text1"/>
          <w:sz w:val="24"/>
          <w:szCs w:val="24"/>
        </w:rPr>
        <w:lastRenderedPageBreak/>
        <w:t>The Cell Titer-Glo® Luminescent Cell Viability Assay kit (Promega) was used for measuring cellular and mitochondrial ATP levels, following the manufacturer’s instructions, with slight modification</w:t>
      </w:r>
      <w:r w:rsidRPr="00D1013C">
        <w:rPr>
          <w:rFonts w:ascii="Times New Roman" w:hAnsi="Times New Roman" w:cs="Times New Roman"/>
          <w:noProof/>
          <w:color w:val="000000" w:themeColor="text1"/>
          <w:sz w:val="24"/>
          <w:szCs w:val="24"/>
          <w:vertAlign w:val="superscript"/>
        </w:rPr>
        <w:t>5</w:t>
      </w:r>
      <w:r w:rsidRPr="00D1013C">
        <w:rPr>
          <w:rFonts w:ascii="Times New Roman" w:hAnsi="Times New Roman" w:cs="Times New Roman"/>
          <w:color w:val="000000" w:themeColor="text1"/>
          <w:sz w:val="24"/>
          <w:szCs w:val="24"/>
        </w:rPr>
        <w:t>.</w:t>
      </w:r>
    </w:p>
    <w:p w14:paraId="405B1946" w14:textId="77777777" w:rsidR="00A16F94" w:rsidRPr="00D1013C" w:rsidRDefault="00A16F94" w:rsidP="005E77F9">
      <w:pPr>
        <w:snapToGrid w:val="0"/>
        <w:spacing w:afterLines="50" w:after="156" w:line="480" w:lineRule="auto"/>
        <w:rPr>
          <w:rFonts w:ascii="Times New Roman" w:hAnsi="Times New Roman" w:cs="Times New Roman"/>
          <w:b/>
          <w:color w:val="000000" w:themeColor="text1"/>
          <w:sz w:val="24"/>
          <w:szCs w:val="24"/>
        </w:rPr>
      </w:pPr>
      <w:r w:rsidRPr="00D1013C">
        <w:rPr>
          <w:rFonts w:ascii="Times New Roman" w:hAnsi="Times New Roman" w:cs="Times New Roman"/>
          <w:b/>
          <w:color w:val="000000" w:themeColor="text1"/>
          <w:sz w:val="24"/>
          <w:szCs w:val="24"/>
        </w:rPr>
        <w:t>Mitochondrial ROS production assessment</w:t>
      </w:r>
    </w:p>
    <w:p w14:paraId="01E56CA6" w14:textId="77777777" w:rsidR="00A16F94" w:rsidRPr="00D1013C" w:rsidRDefault="00A16F94" w:rsidP="005E77F9">
      <w:pPr>
        <w:snapToGrid w:val="0"/>
        <w:spacing w:afterLines="50" w:after="156" w:line="480" w:lineRule="auto"/>
        <w:ind w:firstLineChars="150" w:firstLine="360"/>
        <w:rPr>
          <w:rFonts w:ascii="Times New Roman" w:hAnsi="Times New Roman" w:cs="Times New Roman"/>
          <w:color w:val="000000" w:themeColor="text1"/>
          <w:sz w:val="24"/>
          <w:szCs w:val="24"/>
        </w:rPr>
      </w:pPr>
      <w:proofErr w:type="spellStart"/>
      <w:r w:rsidRPr="00D1013C">
        <w:rPr>
          <w:rFonts w:ascii="Times New Roman" w:hAnsi="Times New Roman" w:cs="Times New Roman"/>
          <w:color w:val="000000" w:themeColor="text1"/>
          <w:sz w:val="24"/>
          <w:szCs w:val="24"/>
        </w:rPr>
        <w:t>MitoSOX</w:t>
      </w:r>
      <w:proofErr w:type="spellEnd"/>
      <w:r w:rsidRPr="00D1013C">
        <w:rPr>
          <w:rFonts w:ascii="Times New Roman" w:hAnsi="Times New Roman" w:cs="Times New Roman"/>
          <w:color w:val="000000" w:themeColor="text1"/>
          <w:sz w:val="24"/>
          <w:szCs w:val="24"/>
        </w:rPr>
        <w:t xml:space="preserve"> assay was used for ROS measurement, following the previously described procedure</w:t>
      </w:r>
      <w:r w:rsidRPr="00D1013C">
        <w:rPr>
          <w:rFonts w:ascii="Times New Roman" w:hAnsi="Times New Roman" w:cs="Times New Roman"/>
          <w:noProof/>
          <w:color w:val="000000" w:themeColor="text1"/>
          <w:sz w:val="24"/>
          <w:szCs w:val="24"/>
          <w:vertAlign w:val="superscript"/>
        </w:rPr>
        <w:t>7</w:t>
      </w:r>
      <w:r w:rsidRPr="00D1013C">
        <w:rPr>
          <w:rFonts w:ascii="Times New Roman" w:hAnsi="Times New Roman" w:cs="Times New Roman"/>
          <w:color w:val="000000" w:themeColor="text1"/>
          <w:sz w:val="24"/>
          <w:szCs w:val="24"/>
        </w:rPr>
        <w:t>.</w:t>
      </w:r>
    </w:p>
    <w:p w14:paraId="5985C417" w14:textId="77777777" w:rsidR="00A16F94" w:rsidRPr="00D1013C" w:rsidRDefault="00A16F94" w:rsidP="005E77F9">
      <w:pPr>
        <w:spacing w:line="480" w:lineRule="auto"/>
        <w:rPr>
          <w:rFonts w:ascii="Times New Roman" w:hAnsi="Times New Roman" w:cs="Times New Roman"/>
          <w:b/>
          <w:bCs/>
          <w:color w:val="000000" w:themeColor="text1"/>
          <w:sz w:val="24"/>
          <w:szCs w:val="24"/>
        </w:rPr>
      </w:pPr>
    </w:p>
    <w:p w14:paraId="7BC09180" w14:textId="77777777" w:rsidR="00A16F94" w:rsidRPr="00D1013C" w:rsidRDefault="00A16F94" w:rsidP="00DD2401">
      <w:pPr>
        <w:spacing w:line="480" w:lineRule="auto"/>
        <w:rPr>
          <w:rFonts w:ascii="Times New Roman" w:hAnsi="Times New Roman" w:cs="Times New Roman"/>
          <w:b/>
          <w:bCs/>
          <w:color w:val="000000" w:themeColor="text1"/>
          <w:sz w:val="24"/>
          <w:szCs w:val="24"/>
        </w:rPr>
      </w:pPr>
      <w:r w:rsidRPr="00D1013C">
        <w:rPr>
          <w:rFonts w:ascii="Times New Roman" w:hAnsi="Times New Roman" w:cs="Times New Roman"/>
          <w:b/>
          <w:bCs/>
          <w:color w:val="000000" w:themeColor="text1"/>
          <w:sz w:val="24"/>
          <w:szCs w:val="24"/>
        </w:rPr>
        <w:t>References</w:t>
      </w:r>
    </w:p>
    <w:p w14:paraId="259AE8F7" w14:textId="77777777" w:rsidR="00A16F94" w:rsidRPr="00D1013C" w:rsidRDefault="00A16F94" w:rsidP="005E77F9">
      <w:pPr>
        <w:pStyle w:val="EndNoteBibliography"/>
        <w:spacing w:line="276" w:lineRule="auto"/>
        <w:ind w:left="720" w:hanging="720"/>
        <w:rPr>
          <w:rFonts w:ascii="Times New Roman" w:hAnsi="Times New Roman" w:cs="Times New Roman"/>
        </w:rPr>
      </w:pPr>
      <w:r w:rsidRPr="00D1013C">
        <w:rPr>
          <w:rFonts w:ascii="Times New Roman" w:hAnsi="Times New Roman" w:cs="Times New Roman"/>
        </w:rPr>
        <w:t>1</w:t>
      </w:r>
      <w:r w:rsidRPr="00D1013C">
        <w:rPr>
          <w:rFonts w:ascii="Times New Roman" w:hAnsi="Times New Roman" w:cs="Times New Roman"/>
        </w:rPr>
        <w:tab/>
        <w:t xml:space="preserve">Suzuki, T., Suzuki, T., Wada, T., Saigo, K. &amp; Watanabe, K. Taurine as a constituent of mitochondrial tRNAs: new insights into the functions of taurine and human mitochondrial diseases. </w:t>
      </w:r>
      <w:r w:rsidRPr="00D1013C">
        <w:rPr>
          <w:rFonts w:ascii="Times New Roman" w:hAnsi="Times New Roman" w:cs="Times New Roman"/>
          <w:i/>
        </w:rPr>
        <w:t>EMBO J.</w:t>
      </w:r>
      <w:r w:rsidRPr="00D1013C">
        <w:rPr>
          <w:rFonts w:ascii="Times New Roman" w:hAnsi="Times New Roman" w:cs="Times New Roman"/>
        </w:rPr>
        <w:t xml:space="preserve"> </w:t>
      </w:r>
      <w:r w:rsidRPr="00D1013C">
        <w:rPr>
          <w:rFonts w:ascii="Times New Roman" w:hAnsi="Times New Roman" w:cs="Times New Roman"/>
          <w:b/>
        </w:rPr>
        <w:t>21</w:t>
      </w:r>
      <w:r w:rsidRPr="00D1013C">
        <w:rPr>
          <w:rFonts w:ascii="Times New Roman" w:hAnsi="Times New Roman" w:cs="Times New Roman"/>
        </w:rPr>
        <w:t>, 6581-6589 (2002).</w:t>
      </w:r>
    </w:p>
    <w:p w14:paraId="42E8232C" w14:textId="77777777" w:rsidR="00A16F94" w:rsidRPr="00D1013C" w:rsidRDefault="00A16F94" w:rsidP="005E77F9">
      <w:pPr>
        <w:pStyle w:val="EndNoteBibliography"/>
        <w:spacing w:line="276" w:lineRule="auto"/>
        <w:ind w:left="720" w:hanging="720"/>
        <w:rPr>
          <w:rFonts w:ascii="Times New Roman" w:hAnsi="Times New Roman" w:cs="Times New Roman"/>
        </w:rPr>
      </w:pPr>
      <w:r w:rsidRPr="00D1013C">
        <w:rPr>
          <w:rFonts w:ascii="Times New Roman" w:hAnsi="Times New Roman" w:cs="Times New Roman"/>
        </w:rPr>
        <w:t>2</w:t>
      </w:r>
      <w:r w:rsidRPr="00D1013C">
        <w:rPr>
          <w:rFonts w:ascii="Times New Roman" w:hAnsi="Times New Roman" w:cs="Times New Roman"/>
        </w:rPr>
        <w:tab/>
        <w:t xml:space="preserve">Meng, F. et al. Biochemical evidence for a nuclear modifier allele (A10S) in TRMU (Methylaminomethyl-2-thiouridylate-methyltransferase) related to mitochondrial tRNA modification in the phenotypic manifestation of deafness-associated 12S rRNA mutation. </w:t>
      </w:r>
      <w:r w:rsidRPr="00D1013C">
        <w:rPr>
          <w:rFonts w:ascii="Times New Roman" w:hAnsi="Times New Roman" w:cs="Times New Roman"/>
          <w:i/>
        </w:rPr>
        <w:t>J. Biol. Chem.</w:t>
      </w:r>
      <w:r w:rsidRPr="00D1013C">
        <w:rPr>
          <w:rFonts w:ascii="Times New Roman" w:hAnsi="Times New Roman" w:cs="Times New Roman"/>
        </w:rPr>
        <w:t xml:space="preserve"> </w:t>
      </w:r>
      <w:r w:rsidRPr="00D1013C">
        <w:rPr>
          <w:rFonts w:ascii="Times New Roman" w:hAnsi="Times New Roman" w:cs="Times New Roman"/>
          <w:b/>
        </w:rPr>
        <w:t>292</w:t>
      </w:r>
      <w:r w:rsidRPr="00D1013C">
        <w:rPr>
          <w:rFonts w:ascii="Times New Roman" w:hAnsi="Times New Roman" w:cs="Times New Roman"/>
        </w:rPr>
        <w:t>, 2881-2892 (2017).</w:t>
      </w:r>
    </w:p>
    <w:p w14:paraId="5E9A27D9" w14:textId="77777777" w:rsidR="00A16F94" w:rsidRPr="00D1013C" w:rsidRDefault="00A16F94" w:rsidP="005E77F9">
      <w:pPr>
        <w:pStyle w:val="EndNoteBibliography"/>
        <w:spacing w:line="276" w:lineRule="auto"/>
        <w:ind w:left="720" w:hanging="720"/>
        <w:rPr>
          <w:rFonts w:ascii="Times New Roman" w:hAnsi="Times New Roman" w:cs="Times New Roman"/>
        </w:rPr>
      </w:pPr>
      <w:r w:rsidRPr="00D1013C">
        <w:rPr>
          <w:rFonts w:ascii="Times New Roman" w:hAnsi="Times New Roman" w:cs="Times New Roman"/>
        </w:rPr>
        <w:t>3</w:t>
      </w:r>
      <w:r w:rsidRPr="00D1013C">
        <w:rPr>
          <w:rFonts w:ascii="Times New Roman" w:hAnsi="Times New Roman" w:cs="Times New Roman"/>
        </w:rPr>
        <w:tab/>
        <w:t>Li, R. &amp; Guan, M. X. Human mitochondrial leucyl-tRNA synthetase corrects mitochondrial dysfunctions due to the tRNA</w:t>
      </w:r>
      <w:r w:rsidRPr="000E0DDE">
        <w:rPr>
          <w:rFonts w:ascii="Times New Roman" w:hAnsi="Times New Roman" w:cs="Times New Roman"/>
          <w:vertAlign w:val="superscript"/>
        </w:rPr>
        <w:t>Leu(UUR)</w:t>
      </w:r>
      <w:r w:rsidRPr="00D1013C">
        <w:rPr>
          <w:rFonts w:ascii="Times New Roman" w:hAnsi="Times New Roman" w:cs="Times New Roman"/>
        </w:rPr>
        <w:t xml:space="preserve"> A3243G mutation, associated with mitochondrial encephalomyopathy, lactic acidosis, and stroke-like symptoms and diabetes. </w:t>
      </w:r>
      <w:r w:rsidRPr="00D1013C">
        <w:rPr>
          <w:rFonts w:ascii="Times New Roman" w:hAnsi="Times New Roman" w:cs="Times New Roman"/>
          <w:i/>
        </w:rPr>
        <w:t>Mol. Cell. Biol.</w:t>
      </w:r>
      <w:r w:rsidRPr="00D1013C">
        <w:rPr>
          <w:rFonts w:ascii="Times New Roman" w:hAnsi="Times New Roman" w:cs="Times New Roman"/>
        </w:rPr>
        <w:t xml:space="preserve"> </w:t>
      </w:r>
      <w:r w:rsidRPr="00D1013C">
        <w:rPr>
          <w:rFonts w:ascii="Times New Roman" w:hAnsi="Times New Roman" w:cs="Times New Roman"/>
          <w:b/>
        </w:rPr>
        <w:t>30</w:t>
      </w:r>
      <w:r w:rsidRPr="00D1013C">
        <w:rPr>
          <w:rFonts w:ascii="Times New Roman" w:hAnsi="Times New Roman" w:cs="Times New Roman"/>
        </w:rPr>
        <w:t>, 2147-2154 (2010).</w:t>
      </w:r>
    </w:p>
    <w:p w14:paraId="5AF79A01" w14:textId="77777777" w:rsidR="00A16F94" w:rsidRPr="00D1013C" w:rsidRDefault="00A16F94" w:rsidP="005E77F9">
      <w:pPr>
        <w:pStyle w:val="EndNoteBibliography"/>
        <w:spacing w:line="276" w:lineRule="auto"/>
        <w:ind w:left="720" w:hanging="720"/>
        <w:rPr>
          <w:rFonts w:ascii="Times New Roman" w:hAnsi="Times New Roman" w:cs="Times New Roman"/>
        </w:rPr>
      </w:pPr>
      <w:r w:rsidRPr="00D1013C">
        <w:rPr>
          <w:rFonts w:ascii="Times New Roman" w:hAnsi="Times New Roman" w:cs="Times New Roman"/>
        </w:rPr>
        <w:t>4</w:t>
      </w:r>
      <w:r w:rsidRPr="00D1013C">
        <w:rPr>
          <w:rFonts w:ascii="Times New Roman" w:hAnsi="Times New Roman" w:cs="Times New Roman"/>
        </w:rPr>
        <w:tab/>
        <w:t xml:space="preserve">Spinazzi, M., Casarin, A., Pertegato, V., Salviati, L. &amp; Angelini, C. Assessment of mitochondrial respiratory chain enzymatic activities on tissues and cultured cells. </w:t>
      </w:r>
      <w:r w:rsidRPr="00D1013C">
        <w:rPr>
          <w:rFonts w:ascii="Times New Roman" w:hAnsi="Times New Roman" w:cs="Times New Roman"/>
          <w:i/>
        </w:rPr>
        <w:t>Nat. Protoc.</w:t>
      </w:r>
      <w:r w:rsidRPr="00D1013C">
        <w:rPr>
          <w:rFonts w:ascii="Times New Roman" w:hAnsi="Times New Roman" w:cs="Times New Roman"/>
        </w:rPr>
        <w:t xml:space="preserve"> </w:t>
      </w:r>
      <w:r w:rsidRPr="00D1013C">
        <w:rPr>
          <w:rFonts w:ascii="Times New Roman" w:hAnsi="Times New Roman" w:cs="Times New Roman"/>
          <w:b/>
        </w:rPr>
        <w:t>7</w:t>
      </w:r>
      <w:r w:rsidRPr="00D1013C">
        <w:rPr>
          <w:rFonts w:ascii="Times New Roman" w:hAnsi="Times New Roman" w:cs="Times New Roman"/>
        </w:rPr>
        <w:t>, 1235-1246 (2012).</w:t>
      </w:r>
    </w:p>
    <w:p w14:paraId="67DC00F6" w14:textId="77777777" w:rsidR="00A16F94" w:rsidRPr="00D1013C" w:rsidRDefault="00A16F94" w:rsidP="005E77F9">
      <w:pPr>
        <w:pStyle w:val="EndNoteBibliography"/>
        <w:spacing w:line="276" w:lineRule="auto"/>
        <w:ind w:left="720" w:hanging="720"/>
        <w:rPr>
          <w:rFonts w:ascii="Times New Roman" w:hAnsi="Times New Roman" w:cs="Times New Roman"/>
        </w:rPr>
      </w:pPr>
      <w:r w:rsidRPr="00D1013C">
        <w:rPr>
          <w:rFonts w:ascii="Times New Roman" w:hAnsi="Times New Roman" w:cs="Times New Roman"/>
        </w:rPr>
        <w:t>5</w:t>
      </w:r>
      <w:r w:rsidRPr="00D1013C">
        <w:rPr>
          <w:rFonts w:ascii="Times New Roman" w:hAnsi="Times New Roman" w:cs="Times New Roman"/>
        </w:rPr>
        <w:tab/>
        <w:t>Gong, S. et al. A deafness-associated tRNA</w:t>
      </w:r>
      <w:r w:rsidRPr="000E0DDE">
        <w:rPr>
          <w:rFonts w:ascii="Times New Roman" w:hAnsi="Times New Roman" w:cs="Times New Roman"/>
          <w:vertAlign w:val="superscript"/>
        </w:rPr>
        <w:t>His</w:t>
      </w:r>
      <w:r w:rsidRPr="00D1013C">
        <w:rPr>
          <w:rFonts w:ascii="Times New Roman" w:hAnsi="Times New Roman" w:cs="Times New Roman"/>
        </w:rPr>
        <w:t xml:space="preserve"> mutation alters the mitochondrial function, ROS production and membrane potential. </w:t>
      </w:r>
      <w:r w:rsidRPr="00D1013C">
        <w:rPr>
          <w:rFonts w:ascii="Times New Roman" w:hAnsi="Times New Roman" w:cs="Times New Roman"/>
          <w:i/>
        </w:rPr>
        <w:t>Nucleic Acids Res.</w:t>
      </w:r>
      <w:r w:rsidRPr="00D1013C">
        <w:rPr>
          <w:rFonts w:ascii="Times New Roman" w:hAnsi="Times New Roman" w:cs="Times New Roman"/>
        </w:rPr>
        <w:t xml:space="preserve"> </w:t>
      </w:r>
      <w:r w:rsidRPr="00D1013C">
        <w:rPr>
          <w:rFonts w:ascii="Times New Roman" w:hAnsi="Times New Roman" w:cs="Times New Roman"/>
          <w:b/>
        </w:rPr>
        <w:t>42</w:t>
      </w:r>
      <w:r w:rsidRPr="00D1013C">
        <w:rPr>
          <w:rFonts w:ascii="Times New Roman" w:hAnsi="Times New Roman" w:cs="Times New Roman"/>
        </w:rPr>
        <w:t>, 8039-8048 (2014).</w:t>
      </w:r>
    </w:p>
    <w:p w14:paraId="7E1DCD15" w14:textId="77777777" w:rsidR="00A16F94" w:rsidRPr="00D1013C" w:rsidRDefault="00A16F94" w:rsidP="005E77F9">
      <w:pPr>
        <w:pStyle w:val="EndNoteBibliography"/>
        <w:spacing w:line="276" w:lineRule="auto"/>
        <w:ind w:left="720" w:hanging="720"/>
        <w:rPr>
          <w:rFonts w:ascii="Times New Roman" w:hAnsi="Times New Roman" w:cs="Times New Roman"/>
        </w:rPr>
      </w:pPr>
      <w:r w:rsidRPr="00D1013C">
        <w:rPr>
          <w:rFonts w:ascii="Times New Roman" w:hAnsi="Times New Roman" w:cs="Times New Roman"/>
        </w:rPr>
        <w:t>6</w:t>
      </w:r>
      <w:r w:rsidRPr="00D1013C">
        <w:rPr>
          <w:rFonts w:ascii="Times New Roman" w:hAnsi="Times New Roman" w:cs="Times New Roman"/>
        </w:rPr>
        <w:tab/>
        <w:t xml:space="preserve">Dranka, B. P. et al. Assessing bioenergetic function in response to oxidative stress by metabolic profiling. </w:t>
      </w:r>
      <w:r w:rsidRPr="00D1013C">
        <w:rPr>
          <w:rFonts w:ascii="Times New Roman" w:hAnsi="Times New Roman" w:cs="Times New Roman"/>
          <w:i/>
        </w:rPr>
        <w:t>Free Radic. Biol. Med.</w:t>
      </w:r>
      <w:r w:rsidRPr="00D1013C">
        <w:rPr>
          <w:rFonts w:ascii="Times New Roman" w:hAnsi="Times New Roman" w:cs="Times New Roman"/>
        </w:rPr>
        <w:t xml:space="preserve"> </w:t>
      </w:r>
      <w:r w:rsidRPr="00D1013C">
        <w:rPr>
          <w:rFonts w:ascii="Times New Roman" w:hAnsi="Times New Roman" w:cs="Times New Roman"/>
          <w:b/>
        </w:rPr>
        <w:t>51</w:t>
      </w:r>
      <w:r w:rsidRPr="00D1013C">
        <w:rPr>
          <w:rFonts w:ascii="Times New Roman" w:hAnsi="Times New Roman" w:cs="Times New Roman"/>
        </w:rPr>
        <w:t>, 1621-1635 (2011).</w:t>
      </w:r>
    </w:p>
    <w:p w14:paraId="58519829" w14:textId="77777777" w:rsidR="00A16F94" w:rsidRPr="00D1013C" w:rsidRDefault="00A16F94" w:rsidP="005E77F9">
      <w:pPr>
        <w:pStyle w:val="EndNoteBibliography"/>
        <w:spacing w:line="276" w:lineRule="auto"/>
        <w:ind w:left="720" w:hanging="720"/>
        <w:rPr>
          <w:rFonts w:ascii="Times New Roman" w:hAnsi="Times New Roman" w:cs="Times New Roman"/>
        </w:rPr>
      </w:pPr>
      <w:r w:rsidRPr="00D1013C">
        <w:rPr>
          <w:rFonts w:ascii="Times New Roman" w:hAnsi="Times New Roman" w:cs="Times New Roman"/>
        </w:rPr>
        <w:t>7</w:t>
      </w:r>
      <w:r w:rsidRPr="00D1013C">
        <w:rPr>
          <w:rFonts w:ascii="Times New Roman" w:hAnsi="Times New Roman" w:cs="Times New Roman"/>
        </w:rPr>
        <w:tab/>
        <w:t>Jia, Z. et al. A coronary artery disease-associated tRNA</w:t>
      </w:r>
      <w:r w:rsidRPr="000E0DDE">
        <w:rPr>
          <w:rFonts w:ascii="Times New Roman" w:hAnsi="Times New Roman" w:cs="Times New Roman"/>
          <w:vertAlign w:val="superscript"/>
        </w:rPr>
        <w:t>Thr</w:t>
      </w:r>
      <w:r w:rsidRPr="00D1013C">
        <w:rPr>
          <w:rFonts w:ascii="Times New Roman" w:hAnsi="Times New Roman" w:cs="Times New Roman"/>
        </w:rPr>
        <w:t xml:space="preserve"> mutation altered mitochondrial function, apoptosis and angiogenesis. </w:t>
      </w:r>
      <w:r w:rsidRPr="00D1013C">
        <w:rPr>
          <w:rFonts w:ascii="Times New Roman" w:hAnsi="Times New Roman" w:cs="Times New Roman"/>
          <w:i/>
        </w:rPr>
        <w:t>Nucleic Acids Res.</w:t>
      </w:r>
      <w:r w:rsidRPr="00D1013C">
        <w:rPr>
          <w:rFonts w:ascii="Times New Roman" w:hAnsi="Times New Roman" w:cs="Times New Roman"/>
        </w:rPr>
        <w:t xml:space="preserve"> </w:t>
      </w:r>
      <w:r w:rsidRPr="00D1013C">
        <w:rPr>
          <w:rFonts w:ascii="Times New Roman" w:hAnsi="Times New Roman" w:cs="Times New Roman"/>
          <w:b/>
        </w:rPr>
        <w:t>47</w:t>
      </w:r>
      <w:r w:rsidRPr="00D1013C">
        <w:rPr>
          <w:rFonts w:ascii="Times New Roman" w:hAnsi="Times New Roman" w:cs="Times New Roman"/>
        </w:rPr>
        <w:t>, 2056-2074 (2019).</w:t>
      </w:r>
    </w:p>
    <w:p w14:paraId="4D474EB6" w14:textId="77777777" w:rsidR="00A16F94" w:rsidRPr="00D1013C" w:rsidRDefault="00A16F94" w:rsidP="005E77F9">
      <w:pPr>
        <w:spacing w:line="276" w:lineRule="auto"/>
        <w:rPr>
          <w:rFonts w:ascii="Times New Roman" w:hAnsi="Times New Roman" w:cs="Times New Roman"/>
          <w:color w:val="000000" w:themeColor="text1"/>
          <w:sz w:val="24"/>
          <w:szCs w:val="24"/>
        </w:rPr>
      </w:pPr>
    </w:p>
    <w:p w14:paraId="43A37296" w14:textId="77777777" w:rsidR="00A16F94" w:rsidRDefault="00A16F94"/>
    <w:sectPr w:rsidR="00A16F94" w:rsidSect="003B4E1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2936D8" w14:textId="77777777" w:rsidR="001C63D7" w:rsidRDefault="001C63D7">
      <w:r>
        <w:separator/>
      </w:r>
    </w:p>
  </w:endnote>
  <w:endnote w:type="continuationSeparator" w:id="0">
    <w:p w14:paraId="58FA993C" w14:textId="77777777" w:rsidR="001C63D7" w:rsidRDefault="001C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6025595"/>
      <w:docPartObj>
        <w:docPartGallery w:val="Page Numbers (Bottom of Page)"/>
        <w:docPartUnique/>
      </w:docPartObj>
    </w:sdtPr>
    <w:sdtEndPr/>
    <w:sdtContent>
      <w:p w14:paraId="795A03FE" w14:textId="77777777" w:rsidR="00201424" w:rsidRDefault="000E0DDE">
        <w:pPr>
          <w:pStyle w:val="a6"/>
          <w:jc w:val="center"/>
        </w:pPr>
        <w:r>
          <w:fldChar w:fldCharType="begin"/>
        </w:r>
        <w:r>
          <w:instrText>PAGE   \* MERGEFORMAT</w:instrText>
        </w:r>
        <w:r>
          <w:fldChar w:fldCharType="separate"/>
        </w:r>
        <w:r>
          <w:rPr>
            <w:lang w:val="zh-CN"/>
          </w:rPr>
          <w:t>2</w:t>
        </w:r>
        <w:r>
          <w:fldChar w:fldCharType="end"/>
        </w:r>
      </w:p>
    </w:sdtContent>
  </w:sdt>
  <w:p w14:paraId="0D582109" w14:textId="77777777" w:rsidR="00201424" w:rsidRDefault="001C63D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DB7E4" w14:textId="77777777" w:rsidR="001C63D7" w:rsidRDefault="001C63D7">
      <w:r>
        <w:separator/>
      </w:r>
    </w:p>
  </w:footnote>
  <w:footnote w:type="continuationSeparator" w:id="0">
    <w:p w14:paraId="5AE376FF" w14:textId="77777777" w:rsidR="001C63D7" w:rsidRDefault="001C6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85CA8"/>
    <w:multiLevelType w:val="hybridMultilevel"/>
    <w:tmpl w:val="5B100A9C"/>
    <w:lvl w:ilvl="0" w:tplc="267230E6">
      <w:start w:val="1"/>
      <w:numFmt w:val="upp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16F94"/>
    <w:rsid w:val="000E0DDE"/>
    <w:rsid w:val="001B4EEB"/>
    <w:rsid w:val="001C63D7"/>
    <w:rsid w:val="005E77F9"/>
    <w:rsid w:val="0063131A"/>
    <w:rsid w:val="0074535E"/>
    <w:rsid w:val="00766FAE"/>
    <w:rsid w:val="00902F0E"/>
    <w:rsid w:val="00A16F94"/>
    <w:rsid w:val="00D143C8"/>
    <w:rsid w:val="00E80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295C4"/>
  <w15:chartTrackingRefBased/>
  <w15:docId w15:val="{C44A1FDC-D0C7-45C5-950C-CB26E1F4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F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6F94"/>
    <w:rPr>
      <w:color w:val="0000FF"/>
      <w:u w:val="single"/>
    </w:rPr>
  </w:style>
  <w:style w:type="paragraph" w:customStyle="1" w:styleId="EndNoteBibliographyTitle">
    <w:name w:val="EndNote Bibliography Title"/>
    <w:basedOn w:val="a"/>
    <w:link w:val="EndNoteBibliographyTitle0"/>
    <w:rsid w:val="00A16F9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16F94"/>
    <w:rPr>
      <w:rFonts w:ascii="等线" w:eastAsia="等线" w:hAnsi="等线"/>
      <w:noProof/>
      <w:sz w:val="20"/>
    </w:rPr>
  </w:style>
  <w:style w:type="paragraph" w:customStyle="1" w:styleId="EndNoteBibliography">
    <w:name w:val="EndNote Bibliography"/>
    <w:basedOn w:val="a"/>
    <w:link w:val="EndNoteBibliography0"/>
    <w:rsid w:val="00A16F94"/>
    <w:rPr>
      <w:rFonts w:ascii="等线" w:eastAsia="等线" w:hAnsi="等线"/>
      <w:noProof/>
      <w:sz w:val="20"/>
    </w:rPr>
  </w:style>
  <w:style w:type="character" w:customStyle="1" w:styleId="EndNoteBibliography0">
    <w:name w:val="EndNote Bibliography 字符"/>
    <w:basedOn w:val="a0"/>
    <w:link w:val="EndNoteBibliography"/>
    <w:rsid w:val="00A16F94"/>
    <w:rPr>
      <w:rFonts w:ascii="等线" w:eastAsia="等线" w:hAnsi="等线"/>
      <w:noProof/>
      <w:sz w:val="20"/>
    </w:rPr>
  </w:style>
  <w:style w:type="paragraph" w:styleId="a4">
    <w:name w:val="header"/>
    <w:basedOn w:val="a"/>
    <w:link w:val="a5"/>
    <w:uiPriority w:val="99"/>
    <w:unhideWhenUsed/>
    <w:rsid w:val="00A16F9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16F94"/>
    <w:rPr>
      <w:sz w:val="18"/>
      <w:szCs w:val="18"/>
    </w:rPr>
  </w:style>
  <w:style w:type="paragraph" w:styleId="a6">
    <w:name w:val="footer"/>
    <w:basedOn w:val="a"/>
    <w:link w:val="a7"/>
    <w:uiPriority w:val="99"/>
    <w:unhideWhenUsed/>
    <w:rsid w:val="00A16F94"/>
    <w:pPr>
      <w:tabs>
        <w:tab w:val="center" w:pos="4153"/>
        <w:tab w:val="right" w:pos="8306"/>
      </w:tabs>
      <w:snapToGrid w:val="0"/>
      <w:jc w:val="left"/>
    </w:pPr>
    <w:rPr>
      <w:sz w:val="18"/>
      <w:szCs w:val="18"/>
    </w:rPr>
  </w:style>
  <w:style w:type="character" w:customStyle="1" w:styleId="a7">
    <w:name w:val="页脚 字符"/>
    <w:basedOn w:val="a0"/>
    <w:link w:val="a6"/>
    <w:uiPriority w:val="99"/>
    <w:rsid w:val="00A16F94"/>
    <w:rPr>
      <w:sz w:val="18"/>
      <w:szCs w:val="18"/>
    </w:rPr>
  </w:style>
  <w:style w:type="character" w:styleId="a8">
    <w:name w:val="Placeholder Text"/>
    <w:basedOn w:val="a0"/>
    <w:uiPriority w:val="99"/>
    <w:semiHidden/>
    <w:rsid w:val="00A16F94"/>
    <w:rPr>
      <w:color w:val="808080"/>
    </w:rPr>
  </w:style>
  <w:style w:type="character" w:customStyle="1" w:styleId="ff4">
    <w:name w:val="ff4"/>
    <w:basedOn w:val="a0"/>
    <w:rsid w:val="00A16F94"/>
  </w:style>
  <w:style w:type="character" w:styleId="a9">
    <w:name w:val="Unresolved Mention"/>
    <w:basedOn w:val="a0"/>
    <w:uiPriority w:val="99"/>
    <w:semiHidden/>
    <w:unhideWhenUsed/>
    <w:rsid w:val="00A16F94"/>
    <w:rPr>
      <w:color w:val="605E5C"/>
      <w:shd w:val="clear" w:color="auto" w:fill="E1DFDD"/>
    </w:rPr>
  </w:style>
  <w:style w:type="character" w:customStyle="1" w:styleId="fc1">
    <w:name w:val="fc1"/>
    <w:basedOn w:val="a0"/>
    <w:rsid w:val="00A16F94"/>
  </w:style>
  <w:style w:type="character" w:customStyle="1" w:styleId="fc0">
    <w:name w:val="fc0"/>
    <w:basedOn w:val="a0"/>
    <w:rsid w:val="00A16F94"/>
  </w:style>
  <w:style w:type="character" w:customStyle="1" w:styleId="aa">
    <w:name w:val="_"/>
    <w:basedOn w:val="a0"/>
    <w:rsid w:val="00A16F94"/>
  </w:style>
  <w:style w:type="paragraph" w:styleId="ab">
    <w:name w:val="List Paragraph"/>
    <w:basedOn w:val="a"/>
    <w:uiPriority w:val="34"/>
    <w:qFormat/>
    <w:rsid w:val="00A16F94"/>
    <w:pPr>
      <w:ind w:firstLineChars="200" w:firstLine="420"/>
    </w:pPr>
  </w:style>
  <w:style w:type="character" w:styleId="ac">
    <w:name w:val="Emphasis"/>
    <w:basedOn w:val="a0"/>
    <w:uiPriority w:val="20"/>
    <w:qFormat/>
    <w:rsid w:val="00A16F94"/>
    <w:rPr>
      <w:i/>
      <w:iCs/>
    </w:rPr>
  </w:style>
  <w:style w:type="paragraph" w:styleId="ad">
    <w:name w:val="Balloon Text"/>
    <w:basedOn w:val="a"/>
    <w:link w:val="ae"/>
    <w:uiPriority w:val="99"/>
    <w:semiHidden/>
    <w:unhideWhenUsed/>
    <w:rsid w:val="00A16F94"/>
    <w:rPr>
      <w:sz w:val="18"/>
      <w:szCs w:val="18"/>
    </w:rPr>
  </w:style>
  <w:style w:type="character" w:customStyle="1" w:styleId="ae">
    <w:name w:val="批注框文本 字符"/>
    <w:basedOn w:val="a0"/>
    <w:link w:val="ad"/>
    <w:uiPriority w:val="99"/>
    <w:semiHidden/>
    <w:rsid w:val="00A16F94"/>
    <w:rPr>
      <w:sz w:val="18"/>
      <w:szCs w:val="18"/>
    </w:rPr>
  </w:style>
  <w:style w:type="character" w:styleId="af">
    <w:name w:val="line number"/>
    <w:basedOn w:val="a0"/>
    <w:uiPriority w:val="99"/>
    <w:semiHidden/>
    <w:unhideWhenUsed/>
    <w:rsid w:val="00A16F94"/>
  </w:style>
  <w:style w:type="character" w:styleId="af0">
    <w:name w:val="Strong"/>
    <w:basedOn w:val="a0"/>
    <w:uiPriority w:val="22"/>
    <w:qFormat/>
    <w:rsid w:val="00A16F94"/>
    <w:rPr>
      <w:b/>
      <w:bCs/>
    </w:rPr>
  </w:style>
  <w:style w:type="character" w:styleId="af1">
    <w:name w:val="annotation reference"/>
    <w:basedOn w:val="a0"/>
    <w:uiPriority w:val="99"/>
    <w:semiHidden/>
    <w:unhideWhenUsed/>
    <w:rsid w:val="00A16F94"/>
    <w:rPr>
      <w:sz w:val="21"/>
      <w:szCs w:val="21"/>
    </w:rPr>
  </w:style>
  <w:style w:type="paragraph" w:styleId="af2">
    <w:name w:val="annotation text"/>
    <w:basedOn w:val="a"/>
    <w:link w:val="af3"/>
    <w:uiPriority w:val="99"/>
    <w:semiHidden/>
    <w:unhideWhenUsed/>
    <w:rsid w:val="00A16F94"/>
    <w:pPr>
      <w:jc w:val="left"/>
    </w:pPr>
  </w:style>
  <w:style w:type="character" w:customStyle="1" w:styleId="af3">
    <w:name w:val="批注文字 字符"/>
    <w:basedOn w:val="a0"/>
    <w:link w:val="af2"/>
    <w:uiPriority w:val="99"/>
    <w:semiHidden/>
    <w:rsid w:val="00A16F94"/>
  </w:style>
  <w:style w:type="paragraph" w:styleId="af4">
    <w:name w:val="annotation subject"/>
    <w:basedOn w:val="af2"/>
    <w:next w:val="af2"/>
    <w:link w:val="af5"/>
    <w:uiPriority w:val="99"/>
    <w:semiHidden/>
    <w:unhideWhenUsed/>
    <w:rsid w:val="00A16F94"/>
    <w:rPr>
      <w:b/>
      <w:bCs/>
    </w:rPr>
  </w:style>
  <w:style w:type="character" w:customStyle="1" w:styleId="af5">
    <w:name w:val="批注主题 字符"/>
    <w:basedOn w:val="af3"/>
    <w:link w:val="af4"/>
    <w:uiPriority w:val="99"/>
    <w:semiHidden/>
    <w:rsid w:val="00A16F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773</Words>
  <Characters>4407</Characters>
  <Application>Microsoft Office Word</Application>
  <DocSecurity>0</DocSecurity>
  <Lines>36</Lines>
  <Paragraphs>10</Paragraphs>
  <ScaleCrop>false</ScaleCrop>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秋芬</dc:creator>
  <cp:keywords/>
  <dc:description/>
  <cp:lastModifiedBy>秋芬</cp:lastModifiedBy>
  <cp:revision>7</cp:revision>
  <dcterms:created xsi:type="dcterms:W3CDTF">2020-11-21T11:38:00Z</dcterms:created>
  <dcterms:modified xsi:type="dcterms:W3CDTF">2020-12-11T15:08:00Z</dcterms:modified>
</cp:coreProperties>
</file>