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527744" w14:textId="515ED2A5" w:rsidR="00CD290B" w:rsidRDefault="00CD290B" w:rsidP="00CD290B">
      <w:pPr>
        <w:spacing w:line="480" w:lineRule="auto"/>
        <w:rPr>
          <w:rFonts w:ascii="Times New Roman" w:hAnsi="Times New Roman" w:cs="Times New Roman"/>
          <w:b/>
          <w:bCs/>
          <w:color w:val="000000" w:themeColor="text1"/>
          <w:sz w:val="24"/>
          <w:szCs w:val="24"/>
        </w:rPr>
      </w:pPr>
      <w:bookmarkStart w:id="0" w:name="_Hlk54092774"/>
      <w:r w:rsidRPr="003B4E1A">
        <w:rPr>
          <w:rFonts w:ascii="Times New Roman" w:hAnsi="Times New Roman" w:cs="Times New Roman"/>
          <w:b/>
          <w:bCs/>
          <w:color w:val="000000" w:themeColor="text1"/>
          <w:sz w:val="24"/>
          <w:szCs w:val="24"/>
        </w:rPr>
        <w:t xml:space="preserve">Supplementary </w:t>
      </w:r>
      <w:bookmarkStart w:id="1" w:name="_Hlk53489146"/>
      <w:bookmarkEnd w:id="0"/>
      <w:r>
        <w:rPr>
          <w:rFonts w:ascii="Times New Roman" w:hAnsi="Times New Roman" w:cs="Times New Roman"/>
          <w:b/>
          <w:bCs/>
          <w:color w:val="000000" w:themeColor="text1"/>
          <w:sz w:val="24"/>
          <w:szCs w:val="24"/>
        </w:rPr>
        <w:t>Figure Legends</w:t>
      </w:r>
    </w:p>
    <w:bookmarkEnd w:id="1"/>
    <w:p w14:paraId="082C4D82" w14:textId="5D34B2D3" w:rsidR="00CD290B" w:rsidRDefault="00CD290B" w:rsidP="00CD290B">
      <w:pPr>
        <w:spacing w:line="480" w:lineRule="auto"/>
        <w:rPr>
          <w:rFonts w:ascii="Times New Roman" w:hAnsi="Times New Roman" w:cs="Times New Roman"/>
          <w:color w:val="000000" w:themeColor="text1"/>
          <w:sz w:val="24"/>
          <w:szCs w:val="24"/>
        </w:rPr>
      </w:pPr>
      <w:r w:rsidRPr="00CD290B">
        <w:rPr>
          <w:rFonts w:ascii="Times New Roman" w:hAnsi="Times New Roman" w:cs="Times New Roman"/>
          <w:b/>
          <w:bCs/>
          <w:color w:val="000000" w:themeColor="text1"/>
          <w:sz w:val="24"/>
          <w:szCs w:val="24"/>
        </w:rPr>
        <w:t>Supplementary Figure S1. Mtu1 knockdown in MS5 d</w:t>
      </w:r>
      <w:r w:rsidR="003A6D21">
        <w:rPr>
          <w:rFonts w:ascii="Times New Roman" w:hAnsi="Times New Roman" w:cs="Times New Roman" w:hint="eastAsia"/>
          <w:b/>
          <w:bCs/>
          <w:color w:val="000000" w:themeColor="text1"/>
          <w:sz w:val="24"/>
          <w:szCs w:val="24"/>
        </w:rPr>
        <w:t>id</w:t>
      </w:r>
      <w:r w:rsidRPr="00CD290B">
        <w:rPr>
          <w:rFonts w:ascii="Times New Roman" w:hAnsi="Times New Roman" w:cs="Times New Roman"/>
          <w:b/>
          <w:bCs/>
          <w:color w:val="000000" w:themeColor="text1"/>
          <w:sz w:val="24"/>
          <w:szCs w:val="24"/>
        </w:rPr>
        <w:t xml:space="preserve"> not affect </w:t>
      </w:r>
      <w:proofErr w:type="spellStart"/>
      <w:r w:rsidRPr="00CD290B">
        <w:rPr>
          <w:rFonts w:ascii="Times New Roman" w:hAnsi="Times New Roman" w:cs="Times New Roman"/>
          <w:b/>
          <w:bCs/>
          <w:color w:val="000000" w:themeColor="text1"/>
          <w:sz w:val="24"/>
          <w:szCs w:val="24"/>
        </w:rPr>
        <w:t>adipogenic</w:t>
      </w:r>
      <w:proofErr w:type="spellEnd"/>
      <w:r w:rsidRPr="00CD290B">
        <w:rPr>
          <w:rFonts w:ascii="Times New Roman" w:hAnsi="Times New Roman" w:cs="Times New Roman"/>
          <w:b/>
          <w:bCs/>
          <w:color w:val="000000" w:themeColor="text1"/>
          <w:sz w:val="24"/>
          <w:szCs w:val="24"/>
        </w:rPr>
        <w:t xml:space="preserve"> differentiation. </w:t>
      </w:r>
      <w:r w:rsidRPr="00CD290B">
        <w:rPr>
          <w:rFonts w:ascii="Times New Roman" w:hAnsi="Times New Roman" w:cs="Times New Roman"/>
          <w:color w:val="000000" w:themeColor="text1"/>
          <w:sz w:val="24"/>
          <w:szCs w:val="24"/>
        </w:rPr>
        <w:t xml:space="preserve">A and B. Oil Red O staining and quantification of accumulated lipid droplets in cells after 14 days of </w:t>
      </w:r>
      <w:proofErr w:type="spellStart"/>
      <w:r w:rsidRPr="00CD290B">
        <w:rPr>
          <w:rFonts w:ascii="Times New Roman" w:hAnsi="Times New Roman" w:cs="Times New Roman"/>
          <w:color w:val="000000" w:themeColor="text1"/>
          <w:sz w:val="24"/>
          <w:szCs w:val="24"/>
        </w:rPr>
        <w:t>adipogenic</w:t>
      </w:r>
      <w:proofErr w:type="spellEnd"/>
      <w:r w:rsidRPr="00CD290B">
        <w:rPr>
          <w:rFonts w:ascii="Times New Roman" w:hAnsi="Times New Roman" w:cs="Times New Roman"/>
          <w:color w:val="000000" w:themeColor="text1"/>
          <w:sz w:val="24"/>
          <w:szCs w:val="24"/>
        </w:rPr>
        <w:t xml:space="preserve"> differentiation. The figures show one representative result of at least 3 experiments. </w:t>
      </w:r>
      <w:r w:rsidR="0081446E" w:rsidRPr="00CD290B">
        <w:rPr>
          <w:rFonts w:ascii="Times New Roman" w:hAnsi="Times New Roman" w:cs="Times New Roman"/>
          <w:color w:val="000000" w:themeColor="text1"/>
          <w:sz w:val="24"/>
          <w:szCs w:val="24"/>
        </w:rPr>
        <w:t xml:space="preserve">Scale bars: 100 </w:t>
      </w:r>
      <w:r w:rsidR="0081446E" w:rsidRPr="00CD290B">
        <w:rPr>
          <w:rFonts w:ascii="Times New Roman" w:hAnsi="Times New Roman" w:cs="Times New Roman"/>
          <w:color w:val="000000" w:themeColor="text1"/>
          <w:sz w:val="24"/>
          <w:szCs w:val="24"/>
          <w:lang w:val="el-GR"/>
        </w:rPr>
        <w:t>μ</w:t>
      </w:r>
      <w:r w:rsidR="0081446E" w:rsidRPr="00CD290B">
        <w:rPr>
          <w:rFonts w:ascii="Times New Roman" w:hAnsi="Times New Roman" w:cs="Times New Roman"/>
          <w:color w:val="000000" w:themeColor="text1"/>
          <w:sz w:val="24"/>
          <w:szCs w:val="24"/>
        </w:rPr>
        <w:t>m.</w:t>
      </w:r>
      <w:r w:rsidR="0081446E">
        <w:rPr>
          <w:rFonts w:ascii="Times New Roman" w:hAnsi="Times New Roman" w:cs="Times New Roman"/>
          <w:color w:val="000000" w:themeColor="text1"/>
          <w:sz w:val="24"/>
          <w:szCs w:val="24"/>
        </w:rPr>
        <w:t xml:space="preserve"> </w:t>
      </w:r>
      <w:r w:rsidRPr="00CD290B">
        <w:rPr>
          <w:rFonts w:ascii="Times New Roman" w:hAnsi="Times New Roman" w:cs="Times New Roman"/>
          <w:color w:val="000000" w:themeColor="text1"/>
          <w:sz w:val="24"/>
          <w:szCs w:val="24"/>
        </w:rPr>
        <w:t xml:space="preserve">C. RT-qPCR at 0, 7 and 14 days for mRNA levels of osteoblast differentiation markers including </w:t>
      </w:r>
      <w:proofErr w:type="spellStart"/>
      <w:r w:rsidRPr="00CD290B">
        <w:rPr>
          <w:rFonts w:ascii="Times New Roman" w:hAnsi="Times New Roman" w:cs="Times New Roman"/>
          <w:i/>
          <w:iCs/>
          <w:color w:val="000000" w:themeColor="text1"/>
          <w:sz w:val="24"/>
          <w:szCs w:val="24"/>
        </w:rPr>
        <w:t>Lpl</w:t>
      </w:r>
      <w:proofErr w:type="spellEnd"/>
      <w:r w:rsidRPr="00CD290B">
        <w:rPr>
          <w:rFonts w:ascii="Times New Roman" w:hAnsi="Times New Roman" w:cs="Times New Roman"/>
          <w:color w:val="000000" w:themeColor="text1"/>
          <w:sz w:val="24"/>
          <w:szCs w:val="24"/>
        </w:rPr>
        <w:t xml:space="preserve"> and </w:t>
      </w:r>
      <w:r w:rsidRPr="00CD290B">
        <w:rPr>
          <w:rFonts w:ascii="Times New Roman" w:hAnsi="Times New Roman" w:cs="Times New Roman"/>
          <w:i/>
          <w:iCs/>
          <w:color w:val="000000" w:themeColor="text1"/>
          <w:sz w:val="24"/>
          <w:szCs w:val="24"/>
        </w:rPr>
        <w:t>PPAR</w:t>
      </w:r>
      <w:r w:rsidRPr="00CD290B">
        <w:rPr>
          <w:rFonts w:ascii="Times New Roman" w:hAnsi="Times New Roman" w:cs="Times New Roman"/>
          <w:i/>
          <w:iCs/>
          <w:color w:val="000000" w:themeColor="text1"/>
          <w:sz w:val="24"/>
          <w:szCs w:val="24"/>
          <w:lang w:val="el-GR"/>
        </w:rPr>
        <w:t>γ</w:t>
      </w:r>
      <w:r w:rsidRPr="00CD290B">
        <w:rPr>
          <w:rFonts w:ascii="Times New Roman" w:hAnsi="Times New Roman" w:cs="Times New Roman"/>
          <w:color w:val="000000" w:themeColor="text1"/>
          <w:sz w:val="24"/>
          <w:szCs w:val="24"/>
        </w:rPr>
        <w:t xml:space="preserve">. </w:t>
      </w:r>
    </w:p>
    <w:p w14:paraId="5FAE0E02" w14:textId="335C56DE" w:rsidR="00CD290B" w:rsidRDefault="00CD290B" w:rsidP="00CD290B">
      <w:pPr>
        <w:spacing w:line="480" w:lineRule="auto"/>
        <w:rPr>
          <w:rFonts w:ascii="Times New Roman" w:hAnsi="Times New Roman" w:cs="Times New Roman"/>
          <w:color w:val="000000" w:themeColor="text1"/>
          <w:sz w:val="24"/>
          <w:szCs w:val="24"/>
        </w:rPr>
      </w:pPr>
    </w:p>
    <w:p w14:paraId="767C4C82" w14:textId="42CE49C6" w:rsidR="00CD290B" w:rsidRPr="00CD290B" w:rsidRDefault="00CD290B" w:rsidP="00CD290B">
      <w:pPr>
        <w:spacing w:line="480" w:lineRule="auto"/>
        <w:rPr>
          <w:rFonts w:ascii="Times New Roman" w:hAnsi="Times New Roman" w:cs="Times New Roman"/>
          <w:color w:val="000000" w:themeColor="text1"/>
          <w:sz w:val="24"/>
          <w:szCs w:val="24"/>
        </w:rPr>
      </w:pPr>
      <w:r w:rsidRPr="00CD290B">
        <w:rPr>
          <w:rFonts w:ascii="Times New Roman" w:hAnsi="Times New Roman" w:cs="Times New Roman"/>
          <w:b/>
          <w:bCs/>
          <w:color w:val="000000" w:themeColor="text1"/>
          <w:sz w:val="24"/>
          <w:szCs w:val="24"/>
        </w:rPr>
        <w:t>Supplementary Figure S2. Mitochondrial d</w:t>
      </w:r>
      <w:r w:rsidR="00747845">
        <w:rPr>
          <w:rFonts w:ascii="Times New Roman" w:hAnsi="Times New Roman" w:cs="Times New Roman" w:hint="eastAsia"/>
          <w:b/>
          <w:bCs/>
          <w:color w:val="000000" w:themeColor="text1"/>
          <w:sz w:val="24"/>
          <w:szCs w:val="24"/>
        </w:rPr>
        <w:t>y</w:t>
      </w:r>
      <w:r w:rsidRPr="00CD290B">
        <w:rPr>
          <w:rFonts w:ascii="Times New Roman" w:hAnsi="Times New Roman" w:cs="Times New Roman"/>
          <w:b/>
          <w:bCs/>
          <w:color w:val="000000" w:themeColor="text1"/>
          <w:sz w:val="24"/>
          <w:szCs w:val="24"/>
        </w:rPr>
        <w:t xml:space="preserve">sfunction </w:t>
      </w:r>
      <w:r w:rsidR="00747845">
        <w:rPr>
          <w:rFonts w:ascii="Times New Roman" w:hAnsi="Times New Roman" w:cs="Times New Roman" w:hint="eastAsia"/>
          <w:b/>
          <w:bCs/>
          <w:color w:val="000000" w:themeColor="text1"/>
          <w:sz w:val="24"/>
          <w:szCs w:val="24"/>
        </w:rPr>
        <w:t>was</w:t>
      </w:r>
      <w:r w:rsidR="00747845">
        <w:rPr>
          <w:rFonts w:ascii="Times New Roman" w:hAnsi="Times New Roman" w:cs="Times New Roman"/>
          <w:b/>
          <w:bCs/>
          <w:color w:val="000000" w:themeColor="text1"/>
          <w:sz w:val="24"/>
          <w:szCs w:val="24"/>
        </w:rPr>
        <w:t xml:space="preserve"> </w:t>
      </w:r>
      <w:r w:rsidRPr="00CD290B">
        <w:rPr>
          <w:rFonts w:ascii="Times New Roman" w:hAnsi="Times New Roman" w:cs="Times New Roman"/>
          <w:b/>
          <w:bCs/>
          <w:color w:val="000000" w:themeColor="text1"/>
          <w:sz w:val="24"/>
          <w:szCs w:val="24"/>
        </w:rPr>
        <w:t xml:space="preserve">elevated during osteogenic differentiation. </w:t>
      </w:r>
      <w:r w:rsidRPr="00CD290B">
        <w:rPr>
          <w:rFonts w:ascii="Times New Roman" w:hAnsi="Times New Roman" w:cs="Times New Roman"/>
          <w:color w:val="000000" w:themeColor="text1"/>
          <w:sz w:val="24"/>
          <w:szCs w:val="24"/>
        </w:rPr>
        <w:t xml:space="preserve">A. </w:t>
      </w:r>
      <w:r w:rsidRPr="008261A0">
        <w:rPr>
          <w:rFonts w:ascii="Times New Roman" w:hAnsi="Times New Roman" w:cs="Times New Roman"/>
          <w:color w:val="000000" w:themeColor="text1"/>
          <w:sz w:val="24"/>
          <w:szCs w:val="24"/>
        </w:rPr>
        <w:t xml:space="preserve">Western blot analysis </w:t>
      </w:r>
      <w:r>
        <w:rPr>
          <w:rFonts w:ascii="Times New Roman" w:hAnsi="Times New Roman" w:cs="Times New Roman"/>
          <w:color w:val="000000" w:themeColor="text1"/>
          <w:sz w:val="24"/>
          <w:szCs w:val="24"/>
        </w:rPr>
        <w:t>of</w:t>
      </w:r>
      <w:r w:rsidRPr="008261A0">
        <w:rPr>
          <w:rFonts w:ascii="Times New Roman" w:hAnsi="Times New Roman" w:cs="Times New Roman"/>
          <w:color w:val="000000" w:themeColor="text1"/>
          <w:sz w:val="24"/>
          <w:szCs w:val="24"/>
        </w:rPr>
        <w:t xml:space="preserve"> subunits of OXPHOS</w:t>
      </w:r>
      <w:r>
        <w:rPr>
          <w:rFonts w:ascii="Times New Roman" w:hAnsi="Times New Roman" w:cs="Times New Roman"/>
          <w:color w:val="000000" w:themeColor="text1"/>
          <w:sz w:val="24"/>
          <w:szCs w:val="24"/>
        </w:rPr>
        <w:t xml:space="preserve"> complexes (</w:t>
      </w:r>
      <w:r w:rsidRPr="008261A0">
        <w:rPr>
          <w:rFonts w:ascii="Times New Roman" w:hAnsi="Times New Roman" w:cs="Times New Roman"/>
          <w:color w:val="000000" w:themeColor="text1"/>
          <w:sz w:val="24"/>
          <w:szCs w:val="24"/>
          <w:lang w:val="fr-FR"/>
        </w:rPr>
        <w:t>CI</w:t>
      </w:r>
      <w:r>
        <w:rPr>
          <w:rFonts w:ascii="Times New Roman" w:hAnsi="Times New Roman" w:cs="Times New Roman"/>
          <w:color w:val="000000" w:themeColor="text1"/>
          <w:sz w:val="24"/>
          <w:szCs w:val="24"/>
          <w:lang w:val="fr-FR"/>
        </w:rPr>
        <w:t>~</w:t>
      </w:r>
      <w:r w:rsidRPr="008261A0">
        <w:rPr>
          <w:rFonts w:ascii="Times New Roman" w:hAnsi="Times New Roman" w:cs="Times New Roman"/>
          <w:color w:val="000000" w:themeColor="text1"/>
          <w:sz w:val="24"/>
          <w:szCs w:val="24"/>
          <w:lang w:val="fr-FR"/>
        </w:rPr>
        <w:t>CV</w:t>
      </w:r>
      <w:r>
        <w:rPr>
          <w:rFonts w:ascii="Times New Roman" w:hAnsi="Times New Roman" w:cs="Times New Roman"/>
          <w:color w:val="000000" w:themeColor="text1"/>
          <w:sz w:val="24"/>
          <w:szCs w:val="24"/>
        </w:rPr>
        <w:t>)</w:t>
      </w:r>
      <w:r w:rsidRPr="00CD290B">
        <w:rPr>
          <w:rFonts w:ascii="Times New Roman" w:hAnsi="Times New Roman" w:cs="Times New Roman"/>
          <w:color w:val="000000" w:themeColor="text1"/>
          <w:sz w:val="24"/>
          <w:szCs w:val="24"/>
        </w:rPr>
        <w:t xml:space="preserve">, with </w:t>
      </w:r>
      <w:proofErr w:type="spellStart"/>
      <w:r w:rsidRPr="00CD290B">
        <w:rPr>
          <w:rFonts w:ascii="Times New Roman" w:hAnsi="Times New Roman" w:cs="Times New Roman"/>
          <w:color w:val="000000" w:themeColor="text1"/>
          <w:sz w:val="24"/>
          <w:szCs w:val="24"/>
        </w:rPr>
        <w:t>Vdac</w:t>
      </w:r>
      <w:proofErr w:type="spellEnd"/>
      <w:r w:rsidRPr="00CD290B">
        <w:rPr>
          <w:rFonts w:ascii="Times New Roman" w:hAnsi="Times New Roman" w:cs="Times New Roman"/>
          <w:color w:val="000000" w:themeColor="text1"/>
          <w:sz w:val="24"/>
          <w:szCs w:val="24"/>
        </w:rPr>
        <w:t xml:space="preserve"> as </w:t>
      </w:r>
      <w:r>
        <w:rPr>
          <w:rFonts w:ascii="Times New Roman" w:hAnsi="Times New Roman" w:cs="Times New Roman"/>
          <w:color w:val="000000" w:themeColor="text1"/>
          <w:sz w:val="24"/>
          <w:szCs w:val="24"/>
        </w:rPr>
        <w:t xml:space="preserve">a </w:t>
      </w:r>
      <w:r w:rsidRPr="00CD290B">
        <w:rPr>
          <w:rFonts w:ascii="Times New Roman" w:hAnsi="Times New Roman" w:cs="Times New Roman"/>
          <w:color w:val="000000" w:themeColor="text1"/>
          <w:sz w:val="24"/>
          <w:szCs w:val="24"/>
        </w:rPr>
        <w:t>loading control.</w:t>
      </w:r>
      <w:r w:rsidRPr="00CD290B">
        <w:rPr>
          <w:rFonts w:ascii="Times New Roman" w:hAnsi="Times New Roman" w:cs="Times New Roman"/>
          <w:color w:val="000000" w:themeColor="text1"/>
          <w:sz w:val="24"/>
          <w:szCs w:val="24"/>
          <w:lang w:val="fr-FR"/>
        </w:rPr>
        <w:t xml:space="preserve"> </w:t>
      </w:r>
      <w:r w:rsidRPr="00CD290B">
        <w:rPr>
          <w:rFonts w:ascii="Times New Roman" w:hAnsi="Times New Roman" w:cs="Times New Roman"/>
          <w:color w:val="000000" w:themeColor="text1"/>
          <w:sz w:val="24"/>
          <w:szCs w:val="24"/>
        </w:rPr>
        <w:t>B. The activities of respiratory complexes were investigated by enzymatic assays on complexes of mitochondria isolated from various cell lines. C. Analysis of OCRs in undifferentiated and osteogenesis cell lines using multiple inhibitors. D. Quantification of OCRs revealed significant respiration deficiency. This figure presented the ATP-linked OCR, proton leak OCR, maximal OCR, reserve capacity, and non-mitochondrial OCR in various cell lines. E. Relative ratio of mitochondrial ATP production. F. Mitochondrial ROS production measured by flow cytometry. *</w:t>
      </w:r>
      <w:r w:rsidRPr="00CD290B">
        <w:rPr>
          <w:rFonts w:ascii="Times New Roman" w:hAnsi="Times New Roman" w:cs="Times New Roman"/>
          <w:i/>
          <w:iCs/>
          <w:color w:val="000000" w:themeColor="text1"/>
          <w:sz w:val="24"/>
          <w:szCs w:val="24"/>
        </w:rPr>
        <w:t xml:space="preserve">P </w:t>
      </w:r>
      <w:r w:rsidRPr="00CD290B">
        <w:rPr>
          <w:rFonts w:ascii="Times New Roman" w:hAnsi="Times New Roman" w:cs="Times New Roman"/>
          <w:color w:val="000000" w:themeColor="text1"/>
          <w:sz w:val="24"/>
          <w:szCs w:val="24"/>
        </w:rPr>
        <w:t>&lt; 0.05; **</w:t>
      </w:r>
      <w:r w:rsidRPr="00CD290B">
        <w:rPr>
          <w:rFonts w:ascii="Times New Roman" w:hAnsi="Times New Roman" w:cs="Times New Roman"/>
          <w:i/>
          <w:iCs/>
          <w:color w:val="000000" w:themeColor="text1"/>
          <w:sz w:val="24"/>
          <w:szCs w:val="24"/>
        </w:rPr>
        <w:t xml:space="preserve">P </w:t>
      </w:r>
      <w:r w:rsidRPr="00CD290B">
        <w:rPr>
          <w:rFonts w:ascii="Times New Roman" w:hAnsi="Times New Roman" w:cs="Times New Roman"/>
          <w:color w:val="000000" w:themeColor="text1"/>
          <w:sz w:val="24"/>
          <w:szCs w:val="24"/>
        </w:rPr>
        <w:t>&lt; 0.01; ***</w:t>
      </w:r>
      <w:r w:rsidRPr="00CD290B">
        <w:rPr>
          <w:rFonts w:ascii="Times New Roman" w:hAnsi="Times New Roman" w:cs="Times New Roman"/>
          <w:i/>
          <w:iCs/>
          <w:color w:val="000000" w:themeColor="text1"/>
          <w:sz w:val="24"/>
          <w:szCs w:val="24"/>
        </w:rPr>
        <w:t xml:space="preserve">P </w:t>
      </w:r>
      <w:r w:rsidRPr="00CD290B">
        <w:rPr>
          <w:rFonts w:ascii="Times New Roman" w:hAnsi="Times New Roman" w:cs="Times New Roman"/>
          <w:color w:val="000000" w:themeColor="text1"/>
          <w:sz w:val="24"/>
          <w:szCs w:val="24"/>
        </w:rPr>
        <w:t>&lt; 0.001.</w:t>
      </w:r>
    </w:p>
    <w:p w14:paraId="787D4AF3" w14:textId="7E5C9EAF" w:rsidR="00CD290B" w:rsidRDefault="00CD290B" w:rsidP="00CD290B">
      <w:pPr>
        <w:spacing w:line="480" w:lineRule="auto"/>
        <w:rPr>
          <w:rFonts w:ascii="Times New Roman" w:hAnsi="Times New Roman" w:cs="Times New Roman"/>
          <w:b/>
          <w:bCs/>
          <w:color w:val="000000" w:themeColor="text1"/>
          <w:sz w:val="24"/>
          <w:szCs w:val="24"/>
        </w:rPr>
      </w:pPr>
    </w:p>
    <w:p w14:paraId="4B25E9F9" w14:textId="1DA7820E" w:rsidR="00CD290B" w:rsidRPr="00CD290B" w:rsidRDefault="00CD290B" w:rsidP="00CD290B">
      <w:pPr>
        <w:spacing w:line="480" w:lineRule="auto"/>
        <w:rPr>
          <w:rFonts w:ascii="Times New Roman" w:hAnsi="Times New Roman" w:cs="Times New Roman"/>
          <w:color w:val="000000" w:themeColor="text1"/>
          <w:sz w:val="24"/>
          <w:szCs w:val="24"/>
        </w:rPr>
      </w:pPr>
      <w:r w:rsidRPr="00CD290B">
        <w:rPr>
          <w:rFonts w:ascii="Times New Roman" w:hAnsi="Times New Roman" w:cs="Times New Roman"/>
          <w:b/>
          <w:bCs/>
          <w:color w:val="000000" w:themeColor="text1"/>
          <w:sz w:val="24"/>
          <w:szCs w:val="24"/>
        </w:rPr>
        <w:t xml:space="preserve">Supplementary Figure S3. Heat map of the relative mitochondrial altered genes. </w:t>
      </w:r>
      <w:r w:rsidRPr="00CD290B">
        <w:rPr>
          <w:rFonts w:ascii="Times New Roman" w:hAnsi="Times New Roman" w:cs="Times New Roman"/>
          <w:color w:val="000000" w:themeColor="text1"/>
          <w:sz w:val="24"/>
          <w:szCs w:val="24"/>
        </w:rPr>
        <w:t xml:space="preserve">The genes were associated with various mitochondrial metabolisms. The following associated genes were clustered. A. Mitochondrial oxidative phosphorylation </w:t>
      </w:r>
      <w:r w:rsidRPr="00CD290B">
        <w:rPr>
          <w:rFonts w:ascii="Times New Roman" w:hAnsi="Times New Roman" w:cs="Times New Roman"/>
          <w:color w:val="000000" w:themeColor="text1"/>
          <w:sz w:val="24"/>
          <w:szCs w:val="24"/>
        </w:rPr>
        <w:lastRenderedPageBreak/>
        <w:t>(OXPHOS); B. Amino acid metabolism; C. Ribosomal; D. Mitophagy; E. tRNA modification enzymes. All of the genes clustered in Heat map have statistically significant (</w:t>
      </w:r>
      <w:r w:rsidRPr="00CD290B">
        <w:rPr>
          <w:rFonts w:ascii="Times New Roman" w:hAnsi="Times New Roman" w:cs="Times New Roman"/>
          <w:i/>
          <w:iCs/>
          <w:color w:val="000000" w:themeColor="text1"/>
          <w:sz w:val="24"/>
          <w:szCs w:val="24"/>
        </w:rPr>
        <w:t>P</w:t>
      </w:r>
      <w:r w:rsidRPr="00CD290B">
        <w:rPr>
          <w:rFonts w:ascii="Times New Roman" w:hAnsi="Times New Roman" w:cs="Times New Roman"/>
          <w:color w:val="000000" w:themeColor="text1"/>
          <w:sz w:val="24"/>
          <w:szCs w:val="24"/>
        </w:rPr>
        <w:t xml:space="preserve"> &lt; 0.5) by R package – Ballgown. Genes marked in red color indicate statistically significant (</w:t>
      </w:r>
      <w:r w:rsidRPr="00CD290B">
        <w:rPr>
          <w:rFonts w:ascii="Times New Roman" w:hAnsi="Times New Roman" w:cs="Times New Roman"/>
          <w:i/>
          <w:iCs/>
          <w:color w:val="000000" w:themeColor="text1"/>
          <w:sz w:val="24"/>
          <w:szCs w:val="24"/>
        </w:rPr>
        <w:t>P</w:t>
      </w:r>
      <w:r w:rsidRPr="00CD290B">
        <w:rPr>
          <w:rFonts w:ascii="Times New Roman" w:hAnsi="Times New Roman" w:cs="Times New Roman"/>
          <w:color w:val="000000" w:themeColor="text1"/>
          <w:sz w:val="24"/>
          <w:szCs w:val="24"/>
        </w:rPr>
        <w:t xml:space="preserve"> &lt; 0.05)</w:t>
      </w:r>
      <w:r w:rsidRPr="00CD290B">
        <w:rPr>
          <w:rFonts w:ascii="Times New Roman" w:hAnsi="Times New Roman" w:cs="Times New Roman" w:hint="eastAsia"/>
          <w:color w:val="000000" w:themeColor="text1"/>
          <w:sz w:val="24"/>
          <w:szCs w:val="24"/>
        </w:rPr>
        <w:t xml:space="preserve"> </w:t>
      </w:r>
      <w:r w:rsidRPr="00CD290B">
        <w:rPr>
          <w:rFonts w:ascii="Times New Roman" w:hAnsi="Times New Roman" w:cs="Times New Roman"/>
          <w:color w:val="000000" w:themeColor="text1"/>
          <w:sz w:val="24"/>
          <w:szCs w:val="24"/>
        </w:rPr>
        <w:t>by R package – Ballgown and log</w:t>
      </w:r>
      <w:r w:rsidRPr="00CD290B">
        <w:rPr>
          <w:rFonts w:ascii="Times New Roman" w:hAnsi="Times New Roman" w:cs="Times New Roman"/>
          <w:color w:val="000000" w:themeColor="text1"/>
          <w:sz w:val="24"/>
          <w:szCs w:val="24"/>
          <w:vertAlign w:val="subscript"/>
        </w:rPr>
        <w:t>2</w:t>
      </w:r>
      <w:r w:rsidRPr="00CD290B">
        <w:rPr>
          <w:rFonts w:ascii="Times New Roman" w:hAnsi="Times New Roman" w:cs="Times New Roman"/>
          <w:color w:val="000000" w:themeColor="text1"/>
          <w:sz w:val="24"/>
          <w:szCs w:val="24"/>
        </w:rPr>
        <w:t xml:space="preserve"> (fold change) &gt; 1 or log</w:t>
      </w:r>
      <w:r w:rsidRPr="00CD290B">
        <w:rPr>
          <w:rFonts w:ascii="Times New Roman" w:hAnsi="Times New Roman" w:cs="Times New Roman"/>
          <w:color w:val="000000" w:themeColor="text1"/>
          <w:sz w:val="24"/>
          <w:szCs w:val="24"/>
          <w:vertAlign w:val="subscript"/>
        </w:rPr>
        <w:t>2</w:t>
      </w:r>
      <w:r w:rsidRPr="00CD290B">
        <w:rPr>
          <w:rFonts w:ascii="Times New Roman" w:hAnsi="Times New Roman" w:cs="Times New Roman"/>
          <w:color w:val="000000" w:themeColor="text1"/>
          <w:sz w:val="24"/>
          <w:szCs w:val="24"/>
        </w:rPr>
        <w:t xml:space="preserve"> (fold change) &lt; </w:t>
      </w:r>
      <w:r>
        <w:rPr>
          <w:rFonts w:ascii="Times New Roman" w:hAnsi="Times New Roman" w:cs="Times New Roman"/>
          <w:color w:val="000000" w:themeColor="text1"/>
          <w:sz w:val="24"/>
          <w:szCs w:val="24"/>
        </w:rPr>
        <w:t>−</w:t>
      </w:r>
      <w:r w:rsidRPr="00CD290B">
        <w:rPr>
          <w:rFonts w:ascii="Times New Roman" w:hAnsi="Times New Roman" w:cs="Times New Roman"/>
          <w:color w:val="000000" w:themeColor="text1"/>
          <w:sz w:val="24"/>
          <w:szCs w:val="24"/>
        </w:rPr>
        <w:t>1.</w:t>
      </w:r>
    </w:p>
    <w:p w14:paraId="424F177B" w14:textId="77777777" w:rsidR="004339CE" w:rsidRPr="00CD290B" w:rsidRDefault="004339CE"/>
    <w:sectPr w:rsidR="004339CE" w:rsidRPr="00CD290B" w:rsidSect="003B4E1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EEE9F" w14:textId="77777777" w:rsidR="008646AB" w:rsidRDefault="008646AB" w:rsidP="00CD290B">
      <w:r>
        <w:separator/>
      </w:r>
    </w:p>
  </w:endnote>
  <w:endnote w:type="continuationSeparator" w:id="0">
    <w:p w14:paraId="047AC719" w14:textId="77777777" w:rsidR="008646AB" w:rsidRDefault="008646AB" w:rsidP="00CD2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6025595"/>
      <w:docPartObj>
        <w:docPartGallery w:val="Page Numbers (Bottom of Page)"/>
        <w:docPartUnique/>
      </w:docPartObj>
    </w:sdtPr>
    <w:sdtEndPr/>
    <w:sdtContent>
      <w:p w14:paraId="5B7F4B95" w14:textId="77777777" w:rsidR="00201424" w:rsidRDefault="00235BC1">
        <w:pPr>
          <w:pStyle w:val="a5"/>
          <w:jc w:val="center"/>
        </w:pPr>
        <w:r>
          <w:fldChar w:fldCharType="begin"/>
        </w:r>
        <w:r>
          <w:instrText>PAGE   \* MERGEFORMAT</w:instrText>
        </w:r>
        <w:r>
          <w:fldChar w:fldCharType="separate"/>
        </w:r>
        <w:r>
          <w:rPr>
            <w:lang w:val="zh-CN"/>
          </w:rPr>
          <w:t>2</w:t>
        </w:r>
        <w:r>
          <w:fldChar w:fldCharType="end"/>
        </w:r>
      </w:p>
    </w:sdtContent>
  </w:sdt>
  <w:p w14:paraId="3D836A59" w14:textId="77777777" w:rsidR="00201424" w:rsidRDefault="008646A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9AF4A9" w14:textId="77777777" w:rsidR="008646AB" w:rsidRDefault="008646AB" w:rsidP="00CD290B">
      <w:r>
        <w:separator/>
      </w:r>
    </w:p>
  </w:footnote>
  <w:footnote w:type="continuationSeparator" w:id="0">
    <w:p w14:paraId="2AB12B75" w14:textId="77777777" w:rsidR="008646AB" w:rsidRDefault="008646AB" w:rsidP="00CD29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9CE"/>
    <w:rsid w:val="000C5E96"/>
    <w:rsid w:val="00235BC1"/>
    <w:rsid w:val="003A6D21"/>
    <w:rsid w:val="004339CE"/>
    <w:rsid w:val="00747845"/>
    <w:rsid w:val="0081446E"/>
    <w:rsid w:val="008646AB"/>
    <w:rsid w:val="009A4CDA"/>
    <w:rsid w:val="00CD29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E5E5D"/>
  <w15:chartTrackingRefBased/>
  <w15:docId w15:val="{CE977AF1-BCD7-4BEA-8845-2C36BCE77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9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290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D290B"/>
    <w:rPr>
      <w:sz w:val="18"/>
      <w:szCs w:val="18"/>
    </w:rPr>
  </w:style>
  <w:style w:type="paragraph" w:styleId="a5">
    <w:name w:val="footer"/>
    <w:basedOn w:val="a"/>
    <w:link w:val="a6"/>
    <w:uiPriority w:val="99"/>
    <w:unhideWhenUsed/>
    <w:rsid w:val="00CD290B"/>
    <w:pPr>
      <w:tabs>
        <w:tab w:val="center" w:pos="4153"/>
        <w:tab w:val="right" w:pos="8306"/>
      </w:tabs>
      <w:snapToGrid w:val="0"/>
      <w:jc w:val="left"/>
    </w:pPr>
    <w:rPr>
      <w:sz w:val="18"/>
      <w:szCs w:val="18"/>
    </w:rPr>
  </w:style>
  <w:style w:type="character" w:customStyle="1" w:styleId="a6">
    <w:name w:val="页脚 字符"/>
    <w:basedOn w:val="a0"/>
    <w:link w:val="a5"/>
    <w:uiPriority w:val="99"/>
    <w:rsid w:val="00CD290B"/>
    <w:rPr>
      <w:sz w:val="18"/>
      <w:szCs w:val="18"/>
    </w:rPr>
  </w:style>
  <w:style w:type="paragraph" w:customStyle="1" w:styleId="EndNoteBibliography">
    <w:name w:val="EndNote Bibliography"/>
    <w:basedOn w:val="a"/>
    <w:link w:val="EndNoteBibliography0"/>
    <w:rsid w:val="00CD290B"/>
    <w:rPr>
      <w:rFonts w:ascii="等线" w:eastAsia="等线" w:hAnsi="等线"/>
      <w:noProof/>
      <w:sz w:val="20"/>
    </w:rPr>
  </w:style>
  <w:style w:type="character" w:customStyle="1" w:styleId="EndNoteBibliography0">
    <w:name w:val="EndNote Bibliography 字符"/>
    <w:basedOn w:val="a0"/>
    <w:link w:val="EndNoteBibliography"/>
    <w:rsid w:val="00CD290B"/>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190036">
      <w:bodyDiv w:val="1"/>
      <w:marLeft w:val="0"/>
      <w:marRight w:val="0"/>
      <w:marTop w:val="0"/>
      <w:marBottom w:val="0"/>
      <w:divBdr>
        <w:top w:val="none" w:sz="0" w:space="0" w:color="auto"/>
        <w:left w:val="none" w:sz="0" w:space="0" w:color="auto"/>
        <w:bottom w:val="none" w:sz="0" w:space="0" w:color="auto"/>
        <w:right w:val="none" w:sz="0" w:space="0" w:color="auto"/>
      </w:divBdr>
    </w:div>
    <w:div w:id="874931713">
      <w:bodyDiv w:val="1"/>
      <w:marLeft w:val="0"/>
      <w:marRight w:val="0"/>
      <w:marTop w:val="0"/>
      <w:marBottom w:val="0"/>
      <w:divBdr>
        <w:top w:val="none" w:sz="0" w:space="0" w:color="auto"/>
        <w:left w:val="none" w:sz="0" w:space="0" w:color="auto"/>
        <w:bottom w:val="none" w:sz="0" w:space="0" w:color="auto"/>
        <w:right w:val="none" w:sz="0" w:space="0" w:color="auto"/>
      </w:divBdr>
    </w:div>
    <w:div w:id="131382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秋芬</dc:creator>
  <cp:keywords/>
  <dc:description/>
  <cp:lastModifiedBy>秋芬</cp:lastModifiedBy>
  <cp:revision>8</cp:revision>
  <dcterms:created xsi:type="dcterms:W3CDTF">2020-11-19T14:31:00Z</dcterms:created>
  <dcterms:modified xsi:type="dcterms:W3CDTF">2020-12-09T14:44:00Z</dcterms:modified>
</cp:coreProperties>
</file>