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02319" w14:textId="64E752C4" w:rsidR="00572D4E" w:rsidRPr="00572D4E" w:rsidRDefault="00572D4E" w:rsidP="00572D4E">
      <w:pPr>
        <w:autoSpaceDE w:val="0"/>
        <w:autoSpaceDN w:val="0"/>
        <w:adjustRightInd w:val="0"/>
        <w:spacing w:after="240" w:line="480" w:lineRule="auto"/>
        <w:rPr>
          <w:rFonts w:ascii="Times New Roman" w:hAnsi="Times New Roman" w:cs="Times New Roman"/>
          <w:b/>
        </w:rPr>
      </w:pPr>
      <w:r w:rsidRPr="001B7C72">
        <w:rPr>
          <w:rFonts w:ascii="Times New Roman" w:hAnsi="Times New Roman" w:cs="Times New Roman"/>
          <w:b/>
        </w:rPr>
        <w:t>SUPPLEMENTARY FIGURE LEGENDS</w:t>
      </w:r>
    </w:p>
    <w:p w14:paraId="1B5CC9C4" w14:textId="18AF147A" w:rsidR="0081477E" w:rsidRPr="0081477E" w:rsidRDefault="0081477E" w:rsidP="0081477E">
      <w:pPr>
        <w:spacing w:line="360" w:lineRule="auto"/>
        <w:jc w:val="both"/>
        <w:rPr>
          <w:rFonts w:ascii="Times New Roman" w:hAnsi="Times New Roman" w:cs="Times New Roman"/>
        </w:rPr>
      </w:pPr>
      <w:r w:rsidRPr="0081477E">
        <w:rPr>
          <w:rFonts w:ascii="Times New Roman" w:hAnsi="Times New Roman" w:cs="Times New Roman"/>
          <w:b/>
          <w:bCs/>
          <w:color w:val="000000" w:themeColor="text1"/>
        </w:rPr>
        <w:t>Additional file 1</w:t>
      </w:r>
      <w:r w:rsidRPr="0081477E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81477E">
        <w:rPr>
          <w:rFonts w:ascii="Times New Roman" w:hAnsi="Times New Roman" w:cs="Times New Roman"/>
          <w:b/>
        </w:rPr>
        <w:t>Table S1</w:t>
      </w:r>
      <w:r>
        <w:rPr>
          <w:rFonts w:ascii="Times New Roman" w:hAnsi="Times New Roman" w:cs="Times New Roman"/>
          <w:b/>
        </w:rPr>
        <w:t xml:space="preserve">. </w:t>
      </w:r>
      <w:r w:rsidRPr="0081477E">
        <w:rPr>
          <w:rFonts w:ascii="Times New Roman" w:hAnsi="Times New Roman" w:cs="Times New Roman"/>
          <w:color w:val="000000"/>
        </w:rPr>
        <w:t>Detailed information of 3 patients is listed.</w:t>
      </w:r>
      <w:r w:rsidRPr="0081477E">
        <w:rPr>
          <w:rFonts w:ascii="Times New Roman" w:hAnsi="Times New Roman" w:cs="Times New Roman"/>
          <w:color w:val="000000"/>
        </w:rPr>
        <w:t xml:space="preserve"> </w:t>
      </w:r>
      <w:r w:rsidRPr="0081477E">
        <w:rPr>
          <w:rFonts w:ascii="Times New Roman" w:hAnsi="Times New Roman" w:cs="Times New Roman"/>
          <w:b/>
        </w:rPr>
        <w:t>Table S2</w:t>
      </w:r>
      <w:r>
        <w:rPr>
          <w:rFonts w:ascii="Times New Roman" w:hAnsi="Times New Roman" w:cs="Times New Roman"/>
          <w:b/>
        </w:rPr>
        <w:t xml:space="preserve">. </w:t>
      </w:r>
      <w:r w:rsidRPr="0081477E">
        <w:rPr>
          <w:rFonts w:ascii="Times New Roman" w:hAnsi="Times New Roman" w:cs="Times New Roman"/>
        </w:rPr>
        <w:t xml:space="preserve"> Primers and RNA sequences used in this study. </w:t>
      </w:r>
      <w:r w:rsidRPr="0081477E">
        <w:rPr>
          <w:rFonts w:ascii="Times New Roman" w:hAnsi="Times New Roman" w:cs="Times New Roman"/>
          <w:b/>
        </w:rPr>
        <w:t>Table S3</w:t>
      </w:r>
      <w:r>
        <w:rPr>
          <w:rFonts w:ascii="Times New Roman" w:hAnsi="Times New Roman" w:cs="Times New Roman"/>
          <w:b/>
        </w:rPr>
        <w:t xml:space="preserve">. </w:t>
      </w:r>
      <w:r w:rsidRPr="0081477E">
        <w:rPr>
          <w:rFonts w:ascii="Times New Roman" w:hAnsi="Times New Roman" w:cs="Times New Roman"/>
        </w:rPr>
        <w:t>ShRNA or siRNA sequences used in this study.</w:t>
      </w:r>
      <w:r w:rsidRPr="0081477E">
        <w:rPr>
          <w:rFonts w:ascii="Times New Roman" w:hAnsi="Times New Roman" w:cs="Times New Roman" w:hint="eastAsia"/>
        </w:rPr>
        <w:t xml:space="preserve"> </w:t>
      </w:r>
      <w:r w:rsidRPr="0081477E">
        <w:rPr>
          <w:rFonts w:ascii="Times New Roman" w:hAnsi="Times New Roman" w:cs="Times New Roman"/>
          <w:b/>
        </w:rPr>
        <w:t>Table S4</w:t>
      </w:r>
      <w:r>
        <w:rPr>
          <w:rFonts w:ascii="Times New Roman" w:hAnsi="Times New Roman" w:cs="Times New Roman"/>
          <w:b/>
        </w:rPr>
        <w:t xml:space="preserve">. </w:t>
      </w:r>
      <w:r w:rsidRPr="0081477E">
        <w:rPr>
          <w:rFonts w:ascii="Times New Roman" w:hAnsi="Times New Roman" w:cs="Times New Roman"/>
        </w:rPr>
        <w:t>MiRNA mimics, and inhibitors sequences used in this study.</w:t>
      </w:r>
      <w:r w:rsidRPr="0081477E">
        <w:rPr>
          <w:rFonts w:ascii="Times New Roman" w:hAnsi="Times New Roman" w:cs="Times New Roman" w:hint="eastAsia"/>
        </w:rPr>
        <w:t xml:space="preserve"> </w:t>
      </w:r>
      <w:r w:rsidRPr="0081477E">
        <w:rPr>
          <w:rFonts w:ascii="Times New Roman" w:hAnsi="Times New Roman" w:cs="Times New Roman"/>
          <w:b/>
        </w:rPr>
        <w:t>Table S5</w:t>
      </w:r>
      <w:r>
        <w:rPr>
          <w:rFonts w:ascii="Times New Roman" w:hAnsi="Times New Roman" w:cs="Times New Roman"/>
          <w:b/>
        </w:rPr>
        <w:t xml:space="preserve">. </w:t>
      </w:r>
      <w:r w:rsidRPr="0081477E">
        <w:rPr>
          <w:rFonts w:ascii="Times New Roman" w:hAnsi="Times New Roman" w:cs="Times New Roman"/>
        </w:rPr>
        <w:t>FISH probes sequences used in this study.</w:t>
      </w:r>
      <w:r w:rsidRPr="0081477E">
        <w:rPr>
          <w:rFonts w:ascii="Times New Roman" w:hAnsi="Times New Roman" w:cs="Times New Roman" w:hint="eastAsia"/>
        </w:rPr>
        <w:t xml:space="preserve"> </w:t>
      </w:r>
      <w:r w:rsidRPr="0081477E">
        <w:rPr>
          <w:rFonts w:ascii="Times New Roman" w:hAnsi="Times New Roman" w:cs="Times New Roman"/>
          <w:b/>
        </w:rPr>
        <w:t>Table S6</w:t>
      </w:r>
      <w:r>
        <w:rPr>
          <w:rFonts w:ascii="Times New Roman" w:hAnsi="Times New Roman" w:cs="Times New Roman"/>
          <w:b/>
        </w:rPr>
        <w:t xml:space="preserve">. </w:t>
      </w:r>
      <w:r w:rsidRPr="0081477E">
        <w:rPr>
          <w:rFonts w:ascii="Times New Roman" w:hAnsi="Times New Roman" w:cs="Times New Roman"/>
        </w:rPr>
        <w:t>The clinical characteristics of the sequenced specimens</w:t>
      </w:r>
      <w:r w:rsidRPr="0081477E">
        <w:rPr>
          <w:rFonts w:ascii="Times New Roman" w:hAnsi="Times New Roman" w:cs="Times New Roman" w:hint="eastAsia"/>
        </w:rPr>
        <w:t>.</w:t>
      </w:r>
    </w:p>
    <w:p w14:paraId="51B5217E" w14:textId="77777777" w:rsidR="0081477E" w:rsidRPr="00BB3D5C" w:rsidRDefault="0081477E" w:rsidP="0081477E">
      <w:pPr>
        <w:rPr>
          <w:rFonts w:ascii="Times New Roman" w:hAnsi="Times New Roman" w:cs="Times New Roman"/>
          <w:sz w:val="21"/>
          <w:szCs w:val="21"/>
        </w:rPr>
      </w:pPr>
    </w:p>
    <w:p w14:paraId="5D050DE7" w14:textId="77777777" w:rsidR="0081477E" w:rsidRDefault="0081477E" w:rsidP="00572D4E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7FF1C22" w14:textId="350F360B" w:rsidR="00572D4E" w:rsidRPr="00507E83" w:rsidRDefault="00572D4E" w:rsidP="008147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07E83">
        <w:rPr>
          <w:rFonts w:ascii="Times New Roman" w:hAnsi="Times New Roman" w:cs="Times New Roman"/>
          <w:b/>
          <w:bCs/>
          <w:color w:val="000000" w:themeColor="text1"/>
        </w:rPr>
        <w:t>Additional file 2: Figure S1.</w:t>
      </w:r>
      <w:r w:rsidRPr="00507E83">
        <w:rPr>
          <w:rFonts w:ascii="Times New Roman" w:hAnsi="Times New Roman" w:cs="Times New Roman"/>
          <w:color w:val="000000" w:themeColor="text1"/>
        </w:rPr>
        <w:t xml:space="preserve"> The expression of top 10 most high expressed circRNAs based on RNA deep sequencing results in 6 paired PTC tissues and adjacent tissues. </w:t>
      </w:r>
      <w:bookmarkStart w:id="0" w:name="OLE_LINK18"/>
      <w:bookmarkStart w:id="1" w:name="OLE_LINK19"/>
      <w:r w:rsidRPr="00507E83">
        <w:rPr>
          <w:rFonts w:ascii="Times New Roman" w:hAnsi="Times New Roman" w:cs="Times New Roman"/>
          <w:color w:val="000000" w:themeColor="text1"/>
        </w:rPr>
        <w:t>Data represent the mean ± SD (*P &lt; 0.05 by Student’s t-test).</w:t>
      </w:r>
    </w:p>
    <w:bookmarkEnd w:id="0"/>
    <w:bookmarkEnd w:id="1"/>
    <w:p w14:paraId="00E70F36" w14:textId="77777777" w:rsidR="00572D4E" w:rsidRPr="00507E83" w:rsidRDefault="00572D4E" w:rsidP="0081477E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</w:rPr>
      </w:pPr>
    </w:p>
    <w:p w14:paraId="3B3F2957" w14:textId="77777777" w:rsidR="00572D4E" w:rsidRPr="00507E83" w:rsidRDefault="00572D4E" w:rsidP="0081477E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</w:rPr>
      </w:pPr>
      <w:r w:rsidRPr="00507E83"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>Additional file 3: Figure S2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>. Overexpression of circRUNX1 increases the migration, invasion and proliferation of PTC cells in vitro. A TPC-1 and B-CPAP cells were stably transfected with circRUNX1 or the vector plasmid, and the expression levels of circRUNX1 and RUNX1 mRNA were detected by real-time PCR. B Migration and invasion abilities of TPC-1 and B-CPAP cells transfected with circRUNX1 or vector. Scale bar = 100 μm. C The effect of circRUNX1 overexpression on migration was evaluated by the wound-healing assay in TPC-1 and B-CPAP cells. D High levels of circRUNX1 accelerates cell growth in a colony formation assay. E Proliferation of TPC-1 and B-CPAP cells transfected with circRUNX1 was measured by CCK-8 assay. Data represent the mean ± SD from three independent experiments (A-E) (*P &lt; 0.05 by Student’s t-test).</w:t>
      </w:r>
    </w:p>
    <w:p w14:paraId="0121B438" w14:textId="77777777" w:rsidR="00572D4E" w:rsidRPr="00507E83" w:rsidRDefault="00572D4E" w:rsidP="0081477E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</w:rPr>
      </w:pPr>
    </w:p>
    <w:p w14:paraId="050B7D79" w14:textId="77777777" w:rsidR="00572D4E" w:rsidRPr="005623B9" w:rsidRDefault="00572D4E" w:rsidP="0081477E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507E83">
        <w:rPr>
          <w:rFonts w:ascii="Times New Roman" w:hAnsi="Times New Roman" w:cs="Times New Roman"/>
          <w:b/>
          <w:bCs/>
          <w:color w:val="000000" w:themeColor="text1"/>
        </w:rPr>
        <w:t>Additional file 4: Figure S3.</w:t>
      </w:r>
      <w:r w:rsidRPr="00507E83">
        <w:rPr>
          <w:rFonts w:ascii="Times New Roman" w:hAnsi="Times New Roman" w:cs="Times New Roman"/>
          <w:color w:val="000000" w:themeColor="text1"/>
        </w:rPr>
        <w:t xml:space="preserve"> The expression and transfection effects of miR-296-3p </w:t>
      </w:r>
      <w:r>
        <w:rPr>
          <w:rFonts w:ascii="Times New Roman" w:hAnsi="Times New Roman" w:cs="Times New Roman" w:hint="eastAsia"/>
          <w:color w:val="000000" w:themeColor="text1"/>
        </w:rPr>
        <w:t>and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>DDHD</w:t>
      </w:r>
      <w:r>
        <w:rPr>
          <w:rFonts w:ascii="Times New Roman" w:hAnsi="Times New Roman" w:cs="Times New Roman"/>
          <w:color w:val="000000" w:themeColor="text1"/>
        </w:rPr>
        <w:t xml:space="preserve">2 </w:t>
      </w:r>
      <w:r w:rsidRPr="00507E83">
        <w:rPr>
          <w:rFonts w:ascii="Times New Roman" w:hAnsi="Times New Roman" w:cs="Times New Roman"/>
          <w:color w:val="000000" w:themeColor="text1"/>
        </w:rPr>
        <w:t xml:space="preserve">in PTC cell lines. </w:t>
      </w:r>
      <w:r w:rsidRPr="00507E83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507E83">
        <w:rPr>
          <w:rFonts w:ascii="Times New Roman" w:hAnsi="Times New Roman" w:cs="Times New Roman"/>
          <w:color w:val="000000" w:themeColor="text1"/>
        </w:rPr>
        <w:t xml:space="preserve"> The miR-296-3p expression in Nthy-ori 3-1 cells and PTC cell lines (KTC, TPC-1, and B-CPAP) was evaluated by qRT-PCR. </w:t>
      </w:r>
      <w:r w:rsidRPr="00507E83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507E83">
        <w:rPr>
          <w:rFonts w:ascii="Times New Roman" w:hAnsi="Times New Roman" w:cs="Times New Roman"/>
          <w:color w:val="000000" w:themeColor="text1"/>
        </w:rPr>
        <w:t xml:space="preserve"> The miR-</w:t>
      </w:r>
      <w:r w:rsidRPr="00507E83">
        <w:rPr>
          <w:rFonts w:ascii="Times New Roman" w:hAnsi="Times New Roman" w:cs="Times New Roman"/>
          <w:color w:val="000000" w:themeColor="text1"/>
        </w:rPr>
        <w:lastRenderedPageBreak/>
        <w:t>296-3p alteration of both TPC-1 and B-CPAP cells transfected with N.C. or miR-296-3p mimics or N.C. inhibitor or miR-296-3p inhibitor was determined by qRT-PCR. Data represent the mean ± SD (*P &lt; 0.05 by Student’s t-test).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24D9361E" w14:textId="77777777" w:rsidR="00572D4E" w:rsidRPr="00507E83" w:rsidRDefault="00572D4E" w:rsidP="0081477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BFDF3D9" w14:textId="77777777" w:rsidR="00572D4E" w:rsidRPr="00507E83" w:rsidRDefault="00572D4E" w:rsidP="0081477E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</w:rPr>
      </w:pPr>
      <w:bookmarkStart w:id="2" w:name="OLE_LINK14"/>
      <w:bookmarkStart w:id="3" w:name="OLE_LINK15"/>
      <w:r w:rsidRPr="00507E83">
        <w:rPr>
          <w:rFonts w:ascii="Times New Roman" w:hAnsi="Times New Roman" w:cs="Times New Roman"/>
          <w:b/>
          <w:bCs/>
          <w:color w:val="000000" w:themeColor="text1"/>
        </w:rPr>
        <w:t>Additional file 5: Figure S4.</w:t>
      </w:r>
      <w:r w:rsidRPr="00507E83">
        <w:rPr>
          <w:rFonts w:ascii="Times New Roman" w:hAnsi="Times New Roman" w:cs="Times New Roman"/>
          <w:color w:val="000000" w:themeColor="text1"/>
        </w:rPr>
        <w:t xml:space="preserve"> </w:t>
      </w:r>
      <w:bookmarkEnd w:id="2"/>
      <w:bookmarkEnd w:id="3"/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Bioinformatic analysis of RNA sequencing data. </w:t>
      </w:r>
      <w:r w:rsidRPr="00507E83"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>A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</w:t>
      </w:r>
      <w:r w:rsidRPr="00507E83">
        <w:rPr>
          <w:rFonts w:ascii="Times New Roman" w:hAnsi="Times New Roman" w:cs="Times New Roman"/>
          <w:color w:val="000000" w:themeColor="text1"/>
        </w:rPr>
        <w:t xml:space="preserve">The comparison map of the differentially expressed genes and all genes at GO Level2 is as follows. </w:t>
      </w:r>
      <w:r w:rsidRPr="00507E83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</w:t>
      </w:r>
      <w:r w:rsidRPr="00507E83">
        <w:rPr>
          <w:rFonts w:ascii="Times New Roman" w:eastAsia="DengXian" w:hAnsi="Times New Roman" w:cs="Times New Roman"/>
          <w:color w:val="000000" w:themeColor="text1"/>
          <w:kern w:val="2"/>
        </w:rPr>
        <w:t>GO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analysis of </w:t>
      </w:r>
      <w:r w:rsidRPr="00507E83">
        <w:rPr>
          <w:rFonts w:ascii="Times New Roman" w:eastAsia="DengXian" w:hAnsi="Times New Roman" w:cs="Times New Roman"/>
          <w:color w:val="000000" w:themeColor="text1"/>
          <w:kern w:val="2"/>
        </w:rPr>
        <w:t>downregulated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genes</w:t>
      </w:r>
      <w:r w:rsidRPr="00507E83">
        <w:rPr>
          <w:rFonts w:ascii="Times New Roman" w:hAnsi="Times New Roman" w:cs="Times New Roman"/>
          <w:color w:val="000000" w:themeColor="text1"/>
        </w:rPr>
        <w:t xml:space="preserve"> in sh-circRUNX1-treated cells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</w:t>
      </w:r>
      <w:r w:rsidRPr="00507E83">
        <w:rPr>
          <w:rFonts w:ascii="Times New Roman" w:eastAsia="DengXian" w:hAnsi="Times New Roman" w:cs="Times New Roman"/>
          <w:color w:val="000000" w:themeColor="text1"/>
          <w:kern w:val="2"/>
        </w:rPr>
        <w:t>is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shown. </w:t>
      </w:r>
      <w:r w:rsidRPr="00507E83"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>C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&amp;</w:t>
      </w:r>
      <w:r w:rsidRPr="00507E83"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 xml:space="preserve"> D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KEGG analysis of </w:t>
      </w:r>
      <w:r w:rsidRPr="00507E83">
        <w:rPr>
          <w:rFonts w:ascii="Times New Roman" w:eastAsia="DengXian" w:hAnsi="Times New Roman" w:cs="Times New Roman"/>
          <w:color w:val="000000" w:themeColor="text1"/>
          <w:kern w:val="2"/>
        </w:rPr>
        <w:t>downregulated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genes</w:t>
      </w:r>
      <w:r w:rsidRPr="00507E83">
        <w:rPr>
          <w:rFonts w:ascii="Times New Roman" w:hAnsi="Times New Roman" w:cs="Times New Roman"/>
          <w:color w:val="000000" w:themeColor="text1"/>
        </w:rPr>
        <w:t xml:space="preserve"> in sh-circRUNX1-treated cells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>.</w:t>
      </w:r>
    </w:p>
    <w:p w14:paraId="1880A94F" w14:textId="77777777" w:rsidR="00572D4E" w:rsidRPr="00507E83" w:rsidRDefault="00572D4E" w:rsidP="008147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8D11FD6" w14:textId="0560A200" w:rsidR="002D4835" w:rsidRPr="00572D4E" w:rsidRDefault="00572D4E" w:rsidP="0081477E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507E83">
        <w:rPr>
          <w:rFonts w:ascii="Times New Roman" w:hAnsi="Times New Roman" w:cs="Times New Roman"/>
          <w:b/>
          <w:bCs/>
          <w:color w:val="000000" w:themeColor="text1"/>
        </w:rPr>
        <w:t>Additional file 6: Figure S5.</w:t>
      </w:r>
      <w:r w:rsidRPr="00507E83">
        <w:rPr>
          <w:rFonts w:ascii="Times New Roman" w:hAnsi="Times New Roman" w:cs="Times New Roman"/>
          <w:color w:val="000000" w:themeColor="text1"/>
        </w:rPr>
        <w:t xml:space="preserve"> DDHD2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functions as a driver gene in </w:t>
      </w:r>
      <w:r w:rsidRPr="00507E83">
        <w:rPr>
          <w:rFonts w:ascii="Times New Roman" w:hAnsi="Times New Roman" w:cs="Times New Roman"/>
          <w:color w:val="000000" w:themeColor="text1"/>
        </w:rPr>
        <w:t>PTC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. </w:t>
      </w:r>
      <w:r w:rsidRPr="00507E83"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>A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</w:t>
      </w:r>
      <w:r w:rsidRPr="00507E83">
        <w:rPr>
          <w:rFonts w:ascii="Times New Roman" w:hAnsi="Times New Roman" w:cs="Times New Roman"/>
          <w:color w:val="000000" w:themeColor="text1"/>
        </w:rPr>
        <w:t>TPC-1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and </w:t>
      </w:r>
      <w:r w:rsidRPr="00507E83">
        <w:rPr>
          <w:rFonts w:ascii="Times New Roman" w:hAnsi="Times New Roman" w:cs="Times New Roman"/>
          <w:color w:val="000000" w:themeColor="text1"/>
        </w:rPr>
        <w:t>B-CPAP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cells were transfected with si-</w:t>
      </w:r>
      <w:r w:rsidRPr="00507E83">
        <w:rPr>
          <w:rFonts w:ascii="Times New Roman" w:hAnsi="Times New Roman" w:cs="Times New Roman"/>
          <w:color w:val="000000" w:themeColor="text1"/>
        </w:rPr>
        <w:t>DDHD2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. After 48 hours, </w:t>
      </w:r>
      <w:r w:rsidRPr="00507E83">
        <w:rPr>
          <w:rFonts w:ascii="Times New Roman" w:hAnsi="Times New Roman" w:cs="Times New Roman"/>
          <w:color w:val="000000" w:themeColor="text1"/>
        </w:rPr>
        <w:t xml:space="preserve">the DDHD2 silencing efficiency was detected by qRT-PCR. </w:t>
      </w:r>
      <w:r w:rsidRPr="00507E83">
        <w:rPr>
          <w:rFonts w:ascii="Times New Roman" w:hAnsi="Times New Roman" w:cs="Times New Roman"/>
          <w:b/>
          <w:bCs/>
          <w:color w:val="000000" w:themeColor="text1"/>
        </w:rPr>
        <w:t>B</w:t>
      </w:r>
      <w:r w:rsidRPr="00507E83">
        <w:rPr>
          <w:rFonts w:ascii="Times New Roman" w:hAnsi="Times New Roman" w:cs="Times New Roman"/>
          <w:color w:val="000000" w:themeColor="text1"/>
        </w:rPr>
        <w:t xml:space="preserve"> DDHD2 deficiency in PTC cells decreased the migration and invasion potential of both TPC-1 and B-CPAP cells, as demonstrated by Transwell migration and Matrigel invasion assays. Scale bars=100 μm. </w:t>
      </w:r>
      <w:r w:rsidRPr="00507E83">
        <w:rPr>
          <w:rFonts w:ascii="Times New Roman" w:hAnsi="Times New Roman" w:cs="Times New Roman"/>
          <w:b/>
          <w:bCs/>
          <w:color w:val="000000" w:themeColor="text1"/>
        </w:rPr>
        <w:t>C</w:t>
      </w:r>
      <w:r w:rsidRPr="00507E83">
        <w:rPr>
          <w:rFonts w:ascii="Times New Roman" w:hAnsi="Times New Roman" w:cs="Times New Roman"/>
          <w:color w:val="000000" w:themeColor="text1"/>
        </w:rPr>
        <w:t xml:space="preserve"> Representative images showing the downregulation of the migration ability of DDHD2 knockdown cells by wound-healing assay. </w:t>
      </w:r>
      <w:r w:rsidRPr="00507E83">
        <w:rPr>
          <w:rFonts w:ascii="Times New Roman" w:hAnsi="Times New Roman" w:cs="Times New Roman"/>
          <w:b/>
          <w:bCs/>
          <w:color w:val="000000" w:themeColor="text1"/>
        </w:rPr>
        <w:t>D-E</w:t>
      </w:r>
      <w:r w:rsidRPr="00507E83">
        <w:rPr>
          <w:rFonts w:ascii="Times New Roman" w:hAnsi="Times New Roman" w:cs="Times New Roman"/>
          <w:color w:val="000000" w:themeColor="text1"/>
        </w:rPr>
        <w:t xml:space="preserve"> Low levels of DDHD2 inhibited cell clone formation in TPC-1 and B-CPAP cells and strongly decreased the proliferation of cells. </w:t>
      </w:r>
      <w:r>
        <w:rPr>
          <w:rFonts w:ascii="Times New Roman" w:hAnsi="Times New Roman" w:cs="Times New Roman"/>
          <w:b/>
          <w:bCs/>
          <w:color w:val="FF0000"/>
        </w:rPr>
        <w:t>F</w:t>
      </w:r>
      <w:r w:rsidRPr="005623B9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5623B9">
        <w:rPr>
          <w:rFonts w:ascii="Times New Roman" w:hAnsi="Times New Roman" w:cs="Times New Roman" w:hint="eastAsia"/>
          <w:color w:val="FF0000"/>
        </w:rPr>
        <w:t>Western</w:t>
      </w:r>
      <w:r w:rsidRPr="005623B9">
        <w:rPr>
          <w:rFonts w:ascii="Times New Roman" w:hAnsi="Times New Roman" w:cs="Times New Roman"/>
          <w:color w:val="FF0000"/>
        </w:rPr>
        <w:t xml:space="preserve"> </w:t>
      </w:r>
      <w:r w:rsidRPr="005623B9">
        <w:rPr>
          <w:rFonts w:ascii="Times New Roman" w:hAnsi="Times New Roman" w:cs="Times New Roman" w:hint="eastAsia"/>
          <w:color w:val="FF0000"/>
        </w:rPr>
        <w:t>blot</w:t>
      </w:r>
      <w:r w:rsidRPr="005623B9">
        <w:rPr>
          <w:rFonts w:ascii="Times New Roman" w:hAnsi="Times New Roman" w:cs="Times New Roman"/>
          <w:color w:val="FF0000"/>
        </w:rPr>
        <w:t xml:space="preserve"> </w:t>
      </w:r>
      <w:r w:rsidRPr="005623B9">
        <w:rPr>
          <w:rFonts w:ascii="Times New Roman" w:hAnsi="Times New Roman" w:cs="Times New Roman" w:hint="eastAsia"/>
          <w:color w:val="FF0000"/>
        </w:rPr>
        <w:t>was</w:t>
      </w:r>
      <w:r w:rsidRPr="005623B9">
        <w:rPr>
          <w:rFonts w:ascii="Times New Roman" w:hAnsi="Times New Roman" w:cs="Times New Roman"/>
          <w:color w:val="FF0000"/>
        </w:rPr>
        <w:t xml:space="preserve"> </w:t>
      </w:r>
      <w:r w:rsidRPr="005623B9">
        <w:rPr>
          <w:rFonts w:ascii="Times New Roman" w:hAnsi="Times New Roman" w:cs="Times New Roman" w:hint="eastAsia"/>
          <w:color w:val="FF0000"/>
        </w:rPr>
        <w:t>conducted</w:t>
      </w:r>
      <w:r w:rsidRPr="005623B9">
        <w:rPr>
          <w:rFonts w:ascii="Times New Roman" w:hAnsi="Times New Roman" w:cs="Times New Roman"/>
          <w:color w:val="FF0000"/>
        </w:rPr>
        <w:t xml:space="preserve"> </w:t>
      </w:r>
      <w:r w:rsidRPr="005623B9">
        <w:rPr>
          <w:rFonts w:ascii="Times New Roman" w:hAnsi="Times New Roman" w:cs="Times New Roman" w:hint="eastAsia"/>
          <w:color w:val="FF0000"/>
        </w:rPr>
        <w:t>to</w:t>
      </w:r>
      <w:r w:rsidRPr="005623B9">
        <w:rPr>
          <w:rFonts w:ascii="Times New Roman" w:hAnsi="Times New Roman" w:cs="Times New Roman"/>
          <w:color w:val="FF0000"/>
        </w:rPr>
        <w:t xml:space="preserve"> evaluate DDHD2 </w:t>
      </w:r>
      <w:r w:rsidRPr="005623B9">
        <w:rPr>
          <w:rFonts w:ascii="Times New Roman" w:hAnsi="Times New Roman" w:cs="Times New Roman" w:hint="eastAsia"/>
          <w:color w:val="FF0000"/>
        </w:rPr>
        <w:t>protien</w:t>
      </w:r>
      <w:r w:rsidRPr="005623B9">
        <w:rPr>
          <w:rFonts w:ascii="Times New Roman" w:hAnsi="Times New Roman" w:cs="Times New Roman"/>
          <w:color w:val="FF0000"/>
        </w:rPr>
        <w:t xml:space="preserve"> expression in PTC cells transfected with sh-NC or sh-circRUNX1 or cotransfected with sh-circ</w:t>
      </w:r>
      <w:r w:rsidRPr="005623B9">
        <w:rPr>
          <w:rFonts w:ascii="Times New Roman" w:hAnsi="Times New Roman" w:cs="Times New Roman" w:hint="eastAsia"/>
          <w:color w:val="FF0000"/>
        </w:rPr>
        <w:t>RUNX</w:t>
      </w:r>
      <w:r w:rsidRPr="005623B9">
        <w:rPr>
          <w:rFonts w:ascii="Times New Roman" w:hAnsi="Times New Roman" w:cs="Times New Roman"/>
          <w:color w:val="FF0000"/>
        </w:rPr>
        <w:t>1 and the DDHD2 overexpression plasmid.</w:t>
      </w:r>
      <w:r>
        <w:rPr>
          <w:rFonts w:ascii="Times New Roman" w:hAnsi="Times New Roman" w:cs="Times New Roman" w:hint="eastAsia"/>
          <w:color w:val="FF0000"/>
        </w:rPr>
        <w:t xml:space="preserve"> 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>Data are from three independent experiments (mean ± SD) (</w:t>
      </w:r>
      <w:r w:rsidRPr="00507E83">
        <w:rPr>
          <w:rFonts w:ascii="Times New Roman" w:eastAsiaTheme="minorEastAsia" w:hAnsi="Times New Roman" w:cs="Times New Roman"/>
          <w:b/>
          <w:bCs/>
          <w:color w:val="000000" w:themeColor="text1"/>
          <w:kern w:val="2"/>
        </w:rPr>
        <w:t>A-</w:t>
      </w:r>
      <w:r w:rsidRPr="00507E83">
        <w:rPr>
          <w:rFonts w:ascii="Times New Roman" w:hAnsi="Times New Roman" w:cs="Times New Roman"/>
          <w:b/>
          <w:bCs/>
          <w:color w:val="000000" w:themeColor="text1"/>
        </w:rPr>
        <w:t>E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>) (*P &lt; 0.0</w:t>
      </w:r>
      <w:r w:rsidRPr="00507E83">
        <w:rPr>
          <w:rFonts w:ascii="Times New Roman" w:hAnsi="Times New Roman" w:cs="Times New Roman"/>
          <w:color w:val="000000" w:themeColor="text1"/>
        </w:rPr>
        <w:t>5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</w:t>
      </w:r>
      <w:r w:rsidRPr="00507E83">
        <w:rPr>
          <w:rFonts w:ascii="Times New Roman" w:hAnsi="Times New Roman" w:cs="Times New Roman"/>
          <w:color w:val="000000" w:themeColor="text1"/>
        </w:rPr>
        <w:t>by</w:t>
      </w:r>
      <w:r w:rsidRPr="00507E83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 Student’s t-test). </w:t>
      </w:r>
    </w:p>
    <w:sectPr w:rsidR="002D4835" w:rsidRPr="00572D4E" w:rsidSect="00A808F5"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4E"/>
    <w:rsid w:val="00001AD1"/>
    <w:rsid w:val="00013B0C"/>
    <w:rsid w:val="0002177D"/>
    <w:rsid w:val="000568BA"/>
    <w:rsid w:val="00076979"/>
    <w:rsid w:val="0019619E"/>
    <w:rsid w:val="00207D27"/>
    <w:rsid w:val="00275FF0"/>
    <w:rsid w:val="002B7481"/>
    <w:rsid w:val="002D4835"/>
    <w:rsid w:val="002F218E"/>
    <w:rsid w:val="00314F2C"/>
    <w:rsid w:val="0038599A"/>
    <w:rsid w:val="00393757"/>
    <w:rsid w:val="003D230C"/>
    <w:rsid w:val="003E3C18"/>
    <w:rsid w:val="00407067"/>
    <w:rsid w:val="00462224"/>
    <w:rsid w:val="00473F5A"/>
    <w:rsid w:val="0049774E"/>
    <w:rsid w:val="004A1CCA"/>
    <w:rsid w:val="004F0C1B"/>
    <w:rsid w:val="00513952"/>
    <w:rsid w:val="00541299"/>
    <w:rsid w:val="00564451"/>
    <w:rsid w:val="00572D4E"/>
    <w:rsid w:val="00574BA5"/>
    <w:rsid w:val="005F780B"/>
    <w:rsid w:val="006154AB"/>
    <w:rsid w:val="00635E41"/>
    <w:rsid w:val="006446C2"/>
    <w:rsid w:val="00664382"/>
    <w:rsid w:val="006F4E64"/>
    <w:rsid w:val="00760367"/>
    <w:rsid w:val="007B4448"/>
    <w:rsid w:val="007E0D1C"/>
    <w:rsid w:val="0081477E"/>
    <w:rsid w:val="00841223"/>
    <w:rsid w:val="00891564"/>
    <w:rsid w:val="008965EB"/>
    <w:rsid w:val="008A4C8F"/>
    <w:rsid w:val="008A5595"/>
    <w:rsid w:val="008B69AB"/>
    <w:rsid w:val="008F61AE"/>
    <w:rsid w:val="0092353B"/>
    <w:rsid w:val="009C25D5"/>
    <w:rsid w:val="00A01926"/>
    <w:rsid w:val="00A34BB3"/>
    <w:rsid w:val="00A3561E"/>
    <w:rsid w:val="00A7768D"/>
    <w:rsid w:val="00A945C8"/>
    <w:rsid w:val="00AC5788"/>
    <w:rsid w:val="00AE0602"/>
    <w:rsid w:val="00B05A5E"/>
    <w:rsid w:val="00B1048E"/>
    <w:rsid w:val="00B36156"/>
    <w:rsid w:val="00B46B97"/>
    <w:rsid w:val="00B66E62"/>
    <w:rsid w:val="00B97550"/>
    <w:rsid w:val="00B978D1"/>
    <w:rsid w:val="00BE55D5"/>
    <w:rsid w:val="00C30C84"/>
    <w:rsid w:val="00CB047B"/>
    <w:rsid w:val="00CD12B0"/>
    <w:rsid w:val="00D0050F"/>
    <w:rsid w:val="00DE6EDD"/>
    <w:rsid w:val="00DF1B8E"/>
    <w:rsid w:val="00E042C2"/>
    <w:rsid w:val="00E061EF"/>
    <w:rsid w:val="00E23E54"/>
    <w:rsid w:val="00E36C56"/>
    <w:rsid w:val="00E47F99"/>
    <w:rsid w:val="00E56C25"/>
    <w:rsid w:val="00E80F7B"/>
    <w:rsid w:val="00EB50CB"/>
    <w:rsid w:val="00EC18DA"/>
    <w:rsid w:val="00EF7C15"/>
    <w:rsid w:val="00FA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53704"/>
  <w15:chartTrackingRefBased/>
  <w15:docId w15:val="{433324A8-521A-9449-8CEC-89A9FEF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D4E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572D4E"/>
  </w:style>
  <w:style w:type="paragraph" w:customStyle="1" w:styleId="p1">
    <w:name w:val="p1"/>
    <w:basedOn w:val="a"/>
    <w:rsid w:val="0081477E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褚 俊杰</dc:creator>
  <cp:keywords/>
  <dc:description/>
  <cp:lastModifiedBy>褚 俊杰</cp:lastModifiedBy>
  <cp:revision>2</cp:revision>
  <dcterms:created xsi:type="dcterms:W3CDTF">2020-11-30T14:17:00Z</dcterms:created>
  <dcterms:modified xsi:type="dcterms:W3CDTF">2020-12-03T02:04:00Z</dcterms:modified>
</cp:coreProperties>
</file>