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olor w:val="auto"/>
          <w:sz w:val="24"/>
          <w:szCs w:val="24"/>
        </w:rPr>
      </w:pPr>
    </w:p>
    <w:p>
      <w:pPr>
        <w:spacing w:line="360" w:lineRule="auto"/>
        <w:rPr>
          <w:rFonts w:ascii="Times New Roman" w:hAnsi="Times New Roman"/>
          <w:b/>
          <w:bCs/>
          <w:color w:val="auto"/>
          <w:sz w:val="24"/>
          <w:szCs w:val="24"/>
        </w:rPr>
      </w:pPr>
      <w:r>
        <w:rPr>
          <w:rFonts w:ascii="Times New Roman" w:hAnsi="Times New Roman"/>
          <w:b/>
          <w:bCs/>
          <w:color w:val="auto"/>
          <w:sz w:val="24"/>
          <w:szCs w:val="24"/>
        </w:rPr>
        <w:t xml:space="preserve">Supplemental </w:t>
      </w:r>
      <w:r>
        <w:rPr>
          <w:rFonts w:hint="eastAsia" w:ascii="Times New Roman" w:hAnsi="Times New Roman"/>
          <w:b/>
          <w:bCs/>
          <w:color w:val="auto"/>
          <w:sz w:val="24"/>
          <w:szCs w:val="24"/>
          <w:lang w:val="en-US" w:eastAsia="zh-CN"/>
        </w:rPr>
        <w:t>F</w:t>
      </w:r>
      <w:r>
        <w:rPr>
          <w:rFonts w:ascii="Times New Roman" w:hAnsi="Times New Roman"/>
          <w:b/>
          <w:bCs/>
          <w:color w:val="auto"/>
          <w:sz w:val="24"/>
          <w:szCs w:val="24"/>
        </w:rPr>
        <w:t xml:space="preserve">igure </w:t>
      </w:r>
      <w:r>
        <w:rPr>
          <w:rFonts w:hint="eastAsia" w:ascii="Times New Roman" w:hAnsi="Times New Roman"/>
          <w:b/>
          <w:bCs/>
          <w:color w:val="auto"/>
          <w:sz w:val="24"/>
          <w:szCs w:val="24"/>
          <w:lang w:val="en-US" w:eastAsia="zh-CN"/>
        </w:rPr>
        <w:t>L</w:t>
      </w:r>
      <w:r>
        <w:rPr>
          <w:rFonts w:ascii="Times New Roman" w:hAnsi="Times New Roman"/>
          <w:b/>
          <w:bCs/>
          <w:color w:val="auto"/>
          <w:sz w:val="24"/>
          <w:szCs w:val="24"/>
        </w:rPr>
        <w:t>egends</w:t>
      </w:r>
    </w:p>
    <w:p>
      <w:pPr>
        <w:spacing w:line="360" w:lineRule="auto"/>
        <w:rPr>
          <w:rFonts w:ascii="Times New Roman" w:hAnsi="Times New Roman"/>
          <w:color w:val="auto"/>
          <w:sz w:val="24"/>
          <w:szCs w:val="24"/>
        </w:rPr>
      </w:pPr>
      <w:r>
        <w:rPr>
          <w:rFonts w:ascii="Times New Roman" w:hAnsi="Times New Roman"/>
          <w:b/>
          <w:bCs/>
          <w:color w:val="auto"/>
          <w:sz w:val="24"/>
          <w:szCs w:val="24"/>
        </w:rPr>
        <w:t>Fig. 1</w:t>
      </w:r>
      <w:r>
        <w:rPr>
          <w:rFonts w:ascii="Times New Roman" w:hAnsi="Times New Roman"/>
          <w:color w:val="auto"/>
          <w:sz w:val="24"/>
          <w:szCs w:val="24"/>
        </w:rPr>
        <w:t xml:space="preserve"> KDM6B identification and clinical relevance</w:t>
      </w:r>
    </w:p>
    <w:p>
      <w:pPr>
        <w:spacing w:line="360" w:lineRule="auto"/>
        <w:rPr>
          <w:rFonts w:ascii="Times New Roman" w:hAnsi="Times New Roman"/>
          <w:color w:val="auto"/>
          <w:sz w:val="24"/>
          <w:szCs w:val="24"/>
        </w:rPr>
      </w:pPr>
      <w:r>
        <w:rPr>
          <w:rFonts w:ascii="Times New Roman" w:hAnsi="Times New Roman"/>
          <w:color w:val="auto"/>
          <w:sz w:val="24"/>
          <w:szCs w:val="24"/>
        </w:rPr>
        <w:t>A: Representative specimens demonstrate the negative, low, moderate and high expression levels of the KDM6B protein.</w:t>
      </w:r>
    </w:p>
    <w:p>
      <w:pPr>
        <w:spacing w:line="360" w:lineRule="auto"/>
        <w:rPr>
          <w:rFonts w:ascii="Times New Roman" w:hAnsi="Times New Roman"/>
          <w:color w:val="auto"/>
          <w:sz w:val="24"/>
          <w:szCs w:val="24"/>
        </w:rPr>
      </w:pPr>
      <w:r>
        <w:rPr>
          <w:rFonts w:ascii="Times New Roman" w:hAnsi="Times New Roman"/>
          <w:color w:val="auto"/>
          <w:sz w:val="24"/>
          <w:szCs w:val="24"/>
        </w:rPr>
        <w:t xml:space="preserve">B: Tissue microarray and public database data indicate the increased expression of the KDM6B protein (tissue microarray) in prostate cancer and the increased expression of the mRNA (GSE6752) in metastatic prostate cancer. </w:t>
      </w:r>
    </w:p>
    <w:p>
      <w:pPr>
        <w:spacing w:line="360" w:lineRule="auto"/>
        <w:rPr>
          <w:rFonts w:ascii="Times New Roman" w:hAnsi="Times New Roman"/>
          <w:color w:val="auto"/>
          <w:sz w:val="24"/>
          <w:szCs w:val="24"/>
        </w:rPr>
      </w:pPr>
      <w:r>
        <w:rPr>
          <w:rFonts w:ascii="Times New Roman" w:hAnsi="Times New Roman"/>
          <w:color w:val="auto"/>
          <w:sz w:val="24"/>
          <w:szCs w:val="24"/>
        </w:rPr>
        <w:t xml:space="preserve">C: The Kaplan-Meier analysis results of the overall survival of prostate cancer patients were categorized by the low and high KDM6B expression levels from the </w:t>
      </w:r>
      <w:r>
        <w:rPr>
          <w:rFonts w:hint="eastAsia" w:ascii="Times New Roman" w:hAnsi="Times New Roman"/>
          <w:color w:val="auto"/>
          <w:sz w:val="24"/>
          <w:szCs w:val="24"/>
        </w:rPr>
        <w:t xml:space="preserve">TCGA </w:t>
      </w:r>
      <w:r>
        <w:rPr>
          <w:rFonts w:ascii="Times New Roman" w:hAnsi="Times New Roman"/>
          <w:color w:val="auto"/>
          <w:sz w:val="24"/>
          <w:szCs w:val="24"/>
        </w:rPr>
        <w:t>database.</w:t>
      </w:r>
    </w:p>
    <w:p>
      <w:pPr>
        <w:spacing w:line="360" w:lineRule="auto"/>
        <w:rPr>
          <w:rFonts w:ascii="Times New Roman" w:hAnsi="Times New Roman"/>
          <w:color w:val="auto"/>
          <w:sz w:val="24"/>
          <w:szCs w:val="24"/>
        </w:rPr>
      </w:pPr>
      <w:r>
        <w:rPr>
          <w:rFonts w:ascii="Times New Roman" w:hAnsi="Times New Roman"/>
          <w:b/>
          <w:bCs/>
          <w:color w:val="auto"/>
          <w:sz w:val="24"/>
          <w:szCs w:val="24"/>
        </w:rPr>
        <w:t>Fig. 2</w:t>
      </w:r>
      <w:r>
        <w:rPr>
          <w:rFonts w:ascii="Times New Roman" w:hAnsi="Times New Roman"/>
          <w:color w:val="auto"/>
          <w:sz w:val="24"/>
          <w:szCs w:val="24"/>
        </w:rPr>
        <w:t xml:space="preserve"> The designed siRNA efficiently knocked down KDM6B mRNA (A and C) and protein (B and D) expression in cells and xenograft</w:t>
      </w:r>
      <w:r>
        <w:rPr>
          <w:rFonts w:hint="eastAsia" w:ascii="Times New Roman" w:hAnsi="Times New Roman"/>
          <w:color w:val="auto"/>
          <w:sz w:val="24"/>
          <w:szCs w:val="24"/>
        </w:rPr>
        <w:t xml:space="preserve">, and transfection of pSLenti-KDM6B in LNCaP cells increased </w:t>
      </w:r>
      <w:r>
        <w:rPr>
          <w:rFonts w:ascii="Times New Roman" w:hAnsi="Times New Roman"/>
          <w:color w:val="auto"/>
          <w:sz w:val="24"/>
          <w:szCs w:val="24"/>
        </w:rPr>
        <w:t>KDM6B mRNA (</w:t>
      </w:r>
      <w:r>
        <w:rPr>
          <w:rFonts w:hint="eastAsia" w:ascii="Times New Roman" w:hAnsi="Times New Roman"/>
          <w:color w:val="auto"/>
          <w:sz w:val="24"/>
          <w:szCs w:val="24"/>
        </w:rPr>
        <w:t>E</w:t>
      </w:r>
      <w:r>
        <w:rPr>
          <w:rFonts w:ascii="Times New Roman" w:hAnsi="Times New Roman"/>
          <w:color w:val="auto"/>
          <w:sz w:val="24"/>
          <w:szCs w:val="24"/>
        </w:rPr>
        <w:t>) and protein (</w:t>
      </w:r>
      <w:r>
        <w:rPr>
          <w:rFonts w:hint="eastAsia" w:ascii="Times New Roman" w:hAnsi="Times New Roman"/>
          <w:color w:val="auto"/>
          <w:sz w:val="24"/>
          <w:szCs w:val="24"/>
        </w:rPr>
        <w:t>F</w:t>
      </w:r>
      <w:r>
        <w:rPr>
          <w:rFonts w:ascii="Times New Roman" w:hAnsi="Times New Roman"/>
          <w:color w:val="auto"/>
          <w:sz w:val="24"/>
          <w:szCs w:val="24"/>
        </w:rPr>
        <w:t>) expression</w:t>
      </w:r>
      <w:r>
        <w:rPr>
          <w:rFonts w:hint="eastAsia" w:ascii="Times New Roman" w:hAnsi="Times New Roman"/>
          <w:color w:val="auto"/>
          <w:sz w:val="24"/>
          <w:szCs w:val="24"/>
        </w:rPr>
        <w:t>.</w:t>
      </w:r>
      <w:bookmarkStart w:id="0" w:name="_GoBack"/>
      <w:bookmarkEnd w:id="0"/>
    </w:p>
    <w:p>
      <w:pPr>
        <w:spacing w:line="360" w:lineRule="auto"/>
        <w:rPr>
          <w:rFonts w:ascii="Times New Roman" w:hAnsi="Times New Roman"/>
          <w:color w:val="auto"/>
          <w:sz w:val="24"/>
          <w:szCs w:val="24"/>
        </w:rPr>
      </w:pPr>
      <w:r>
        <w:rPr>
          <w:rFonts w:ascii="Times New Roman" w:hAnsi="Times New Roman"/>
          <w:b/>
          <w:bCs/>
          <w:color w:val="auto"/>
          <w:sz w:val="24"/>
          <w:szCs w:val="24"/>
        </w:rPr>
        <w:t>Fig. 3</w:t>
      </w:r>
      <w:r>
        <w:rPr>
          <w:rFonts w:ascii="Times New Roman" w:hAnsi="Times New Roman"/>
          <w:color w:val="auto"/>
          <w:sz w:val="24"/>
          <w:szCs w:val="24"/>
        </w:rPr>
        <w:t xml:space="preserve"> Comparison of KDM6B protein expression between patients with low (&lt;20 ng/ml) and high (≥20 ng/ml) PSA expression using H-scores.</w:t>
      </w:r>
    </w:p>
    <w:p>
      <w:pPr>
        <w:spacing w:line="360" w:lineRule="auto"/>
        <w:rPr>
          <w:rFonts w:ascii="Times New Roman" w:hAnsi="Times New Roman"/>
          <w:color w:val="auto"/>
          <w:sz w:val="24"/>
          <w:szCs w:val="24"/>
        </w:rPr>
      </w:pPr>
      <w:r>
        <w:rPr>
          <w:rFonts w:hint="eastAsia" w:ascii="Times New Roman" w:hAnsi="Times New Roman"/>
          <w:color w:val="auto"/>
          <w:sz w:val="24"/>
          <w:szCs w:val="24"/>
        </w:rPr>
        <w:t>(</w:t>
      </w:r>
      <w:r>
        <w:rPr>
          <w:rFonts w:ascii="Times New Roman" w:hAnsi="Times New Roman"/>
          <w:color w:val="auto"/>
          <w:sz w:val="24"/>
          <w:szCs w:val="24"/>
        </w:rPr>
        <w:t>N</w:t>
      </w:r>
      <w:r>
        <w:rPr>
          <w:rFonts w:hint="eastAsia" w:ascii="Times New Roman" w:hAnsi="Times New Roman"/>
          <w:color w:val="auto"/>
          <w:sz w:val="24"/>
          <w:szCs w:val="24"/>
        </w:rPr>
        <w:t>ote</w:t>
      </w:r>
      <w:r>
        <w:rPr>
          <w:rFonts w:ascii="Times New Roman" w:hAnsi="Times New Roman"/>
          <w:color w:val="auto"/>
          <w:sz w:val="24"/>
          <w:szCs w:val="24"/>
        </w:rPr>
        <w:t>: PSA, prostate specific antigen.)</w:t>
      </w:r>
    </w:p>
    <w:p>
      <w:pPr>
        <w:spacing w:line="360" w:lineRule="auto"/>
        <w:rPr>
          <w:rFonts w:ascii="Times New Roman" w:hAnsi="Times New Roman" w:cs="Times New Roman"/>
          <w:color w:val="auto"/>
          <w:sz w:val="24"/>
          <w:szCs w:val="24"/>
        </w:rPr>
      </w:pPr>
      <w:r>
        <w:rPr>
          <w:rFonts w:ascii="Times New Roman" w:hAnsi="Times New Roman"/>
          <w:b/>
          <w:bCs/>
          <w:color w:val="auto"/>
          <w:sz w:val="24"/>
          <w:szCs w:val="24"/>
        </w:rPr>
        <w:t>Fig. 4</w:t>
      </w:r>
      <w:r>
        <w:rPr>
          <w:rFonts w:ascii="Times New Roman" w:hAnsi="Times New Roman"/>
          <w:color w:val="auto"/>
          <w:sz w:val="24"/>
          <w:szCs w:val="24"/>
        </w:rPr>
        <w:t xml:space="preserve"> Representative peptide fragments of Smad 2/3 revealed by immunoprecipitation-based mass spectrometry.</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0868476"/>
    </w:sdtPr>
    <w:sdtContent>
      <w:p>
        <w:pPr>
          <w:pStyle w:val="4"/>
          <w:jc w:val="right"/>
        </w:pPr>
        <w:r>
          <w:fldChar w:fldCharType="begin"/>
        </w:r>
        <w:r>
          <w:instrText xml:space="preserve">PAGE   \* MERGEFORMAT</w:instrText>
        </w:r>
        <w:r>
          <w:fldChar w:fldCharType="separate"/>
        </w:r>
        <w:r>
          <w:rPr>
            <w:lang w:val="zh-CN"/>
          </w:rPr>
          <w:t>2</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2E5"/>
    <w:rsid w:val="000073D5"/>
    <w:rsid w:val="00022131"/>
    <w:rsid w:val="00027A14"/>
    <w:rsid w:val="00036F8D"/>
    <w:rsid w:val="0004724D"/>
    <w:rsid w:val="0004795F"/>
    <w:rsid w:val="00055EAB"/>
    <w:rsid w:val="00057B48"/>
    <w:rsid w:val="000863A4"/>
    <w:rsid w:val="00096727"/>
    <w:rsid w:val="000C483E"/>
    <w:rsid w:val="000C620D"/>
    <w:rsid w:val="000E3274"/>
    <w:rsid w:val="000F6C5D"/>
    <w:rsid w:val="00100EE1"/>
    <w:rsid w:val="00105258"/>
    <w:rsid w:val="001107CD"/>
    <w:rsid w:val="00117EDC"/>
    <w:rsid w:val="00125CE6"/>
    <w:rsid w:val="0013667C"/>
    <w:rsid w:val="00142E7E"/>
    <w:rsid w:val="001716E2"/>
    <w:rsid w:val="0019152F"/>
    <w:rsid w:val="001A4C99"/>
    <w:rsid w:val="001A6012"/>
    <w:rsid w:val="001B1A57"/>
    <w:rsid w:val="001C5E93"/>
    <w:rsid w:val="001D1DD6"/>
    <w:rsid w:val="001D4584"/>
    <w:rsid w:val="001E0636"/>
    <w:rsid w:val="001E46F5"/>
    <w:rsid w:val="002020EC"/>
    <w:rsid w:val="00205407"/>
    <w:rsid w:val="0021210A"/>
    <w:rsid w:val="00221222"/>
    <w:rsid w:val="002333F3"/>
    <w:rsid w:val="002336FC"/>
    <w:rsid w:val="00261657"/>
    <w:rsid w:val="002671DB"/>
    <w:rsid w:val="0029280D"/>
    <w:rsid w:val="002D4C2E"/>
    <w:rsid w:val="002D60FF"/>
    <w:rsid w:val="002E260A"/>
    <w:rsid w:val="00312824"/>
    <w:rsid w:val="00316A65"/>
    <w:rsid w:val="00316E59"/>
    <w:rsid w:val="00322196"/>
    <w:rsid w:val="00322E60"/>
    <w:rsid w:val="00326127"/>
    <w:rsid w:val="00341D1D"/>
    <w:rsid w:val="00342457"/>
    <w:rsid w:val="00345281"/>
    <w:rsid w:val="00345C11"/>
    <w:rsid w:val="0037310E"/>
    <w:rsid w:val="003766F6"/>
    <w:rsid w:val="003D2629"/>
    <w:rsid w:val="003E4BCD"/>
    <w:rsid w:val="003E7B34"/>
    <w:rsid w:val="003F15DF"/>
    <w:rsid w:val="003F60A9"/>
    <w:rsid w:val="00403D74"/>
    <w:rsid w:val="004312B3"/>
    <w:rsid w:val="00466F66"/>
    <w:rsid w:val="00467216"/>
    <w:rsid w:val="00470197"/>
    <w:rsid w:val="004B1CFF"/>
    <w:rsid w:val="004B46A8"/>
    <w:rsid w:val="004C42E5"/>
    <w:rsid w:val="004F438E"/>
    <w:rsid w:val="00511B32"/>
    <w:rsid w:val="005127DB"/>
    <w:rsid w:val="00543750"/>
    <w:rsid w:val="00551886"/>
    <w:rsid w:val="00561667"/>
    <w:rsid w:val="0058481D"/>
    <w:rsid w:val="00597306"/>
    <w:rsid w:val="005C2DAC"/>
    <w:rsid w:val="005C55B4"/>
    <w:rsid w:val="005E4AE6"/>
    <w:rsid w:val="006344D7"/>
    <w:rsid w:val="00642B76"/>
    <w:rsid w:val="006439F0"/>
    <w:rsid w:val="00651AB4"/>
    <w:rsid w:val="006673E8"/>
    <w:rsid w:val="006B5792"/>
    <w:rsid w:val="006D4505"/>
    <w:rsid w:val="006F58CE"/>
    <w:rsid w:val="007113DD"/>
    <w:rsid w:val="00721E1E"/>
    <w:rsid w:val="00734AC1"/>
    <w:rsid w:val="00736CBA"/>
    <w:rsid w:val="007543C7"/>
    <w:rsid w:val="00762F1D"/>
    <w:rsid w:val="00766E05"/>
    <w:rsid w:val="00772D5A"/>
    <w:rsid w:val="007A44A0"/>
    <w:rsid w:val="007C6F01"/>
    <w:rsid w:val="007E6AF6"/>
    <w:rsid w:val="007F23A4"/>
    <w:rsid w:val="007F48BD"/>
    <w:rsid w:val="00821419"/>
    <w:rsid w:val="008268C3"/>
    <w:rsid w:val="00846561"/>
    <w:rsid w:val="008526DE"/>
    <w:rsid w:val="00866E71"/>
    <w:rsid w:val="00894EEC"/>
    <w:rsid w:val="008B2A53"/>
    <w:rsid w:val="008C255C"/>
    <w:rsid w:val="008D1764"/>
    <w:rsid w:val="009008C5"/>
    <w:rsid w:val="00913C9C"/>
    <w:rsid w:val="00914632"/>
    <w:rsid w:val="00920101"/>
    <w:rsid w:val="009206B8"/>
    <w:rsid w:val="00920B80"/>
    <w:rsid w:val="00932FC5"/>
    <w:rsid w:val="009460A1"/>
    <w:rsid w:val="00995D6B"/>
    <w:rsid w:val="009A63A7"/>
    <w:rsid w:val="009B235F"/>
    <w:rsid w:val="009C2D49"/>
    <w:rsid w:val="009D22A1"/>
    <w:rsid w:val="009E54E5"/>
    <w:rsid w:val="009E64F4"/>
    <w:rsid w:val="009F1DF6"/>
    <w:rsid w:val="009F3FBC"/>
    <w:rsid w:val="00A16749"/>
    <w:rsid w:val="00A3035E"/>
    <w:rsid w:val="00A44474"/>
    <w:rsid w:val="00A56CCF"/>
    <w:rsid w:val="00A616A3"/>
    <w:rsid w:val="00A807BF"/>
    <w:rsid w:val="00A84685"/>
    <w:rsid w:val="00A86FBF"/>
    <w:rsid w:val="00AB42D6"/>
    <w:rsid w:val="00AB6E01"/>
    <w:rsid w:val="00B05A7C"/>
    <w:rsid w:val="00B06044"/>
    <w:rsid w:val="00B23921"/>
    <w:rsid w:val="00B23951"/>
    <w:rsid w:val="00B34505"/>
    <w:rsid w:val="00B50FE9"/>
    <w:rsid w:val="00B57C62"/>
    <w:rsid w:val="00B610F6"/>
    <w:rsid w:val="00B61E67"/>
    <w:rsid w:val="00B72439"/>
    <w:rsid w:val="00B868EA"/>
    <w:rsid w:val="00B8789D"/>
    <w:rsid w:val="00B962DB"/>
    <w:rsid w:val="00BA7A5D"/>
    <w:rsid w:val="00BA7D7C"/>
    <w:rsid w:val="00BB3D19"/>
    <w:rsid w:val="00BD396F"/>
    <w:rsid w:val="00BD39A3"/>
    <w:rsid w:val="00BE32D2"/>
    <w:rsid w:val="00BE6A9B"/>
    <w:rsid w:val="00BE773C"/>
    <w:rsid w:val="00C05758"/>
    <w:rsid w:val="00C10A5A"/>
    <w:rsid w:val="00C13FBC"/>
    <w:rsid w:val="00C1580D"/>
    <w:rsid w:val="00C32D86"/>
    <w:rsid w:val="00C539E7"/>
    <w:rsid w:val="00C663E2"/>
    <w:rsid w:val="00C83556"/>
    <w:rsid w:val="00CB7ABC"/>
    <w:rsid w:val="00CC09CE"/>
    <w:rsid w:val="00CC111E"/>
    <w:rsid w:val="00CC55B8"/>
    <w:rsid w:val="00CD164F"/>
    <w:rsid w:val="00CE5807"/>
    <w:rsid w:val="00CF7D3A"/>
    <w:rsid w:val="00D056D6"/>
    <w:rsid w:val="00D05871"/>
    <w:rsid w:val="00D1499D"/>
    <w:rsid w:val="00D162E3"/>
    <w:rsid w:val="00D26790"/>
    <w:rsid w:val="00D3139B"/>
    <w:rsid w:val="00D34AA6"/>
    <w:rsid w:val="00D3513A"/>
    <w:rsid w:val="00D51D85"/>
    <w:rsid w:val="00D65931"/>
    <w:rsid w:val="00D72CAB"/>
    <w:rsid w:val="00D912D5"/>
    <w:rsid w:val="00D93938"/>
    <w:rsid w:val="00D96478"/>
    <w:rsid w:val="00DB2AA2"/>
    <w:rsid w:val="00DC5603"/>
    <w:rsid w:val="00DD0099"/>
    <w:rsid w:val="00E0626C"/>
    <w:rsid w:val="00E062E2"/>
    <w:rsid w:val="00E105C9"/>
    <w:rsid w:val="00E11D51"/>
    <w:rsid w:val="00E51FB3"/>
    <w:rsid w:val="00E82B9A"/>
    <w:rsid w:val="00ED260C"/>
    <w:rsid w:val="00ED5536"/>
    <w:rsid w:val="00ED73AB"/>
    <w:rsid w:val="00EE759B"/>
    <w:rsid w:val="00F06AE5"/>
    <w:rsid w:val="00F20267"/>
    <w:rsid w:val="00F30B37"/>
    <w:rsid w:val="00F321BF"/>
    <w:rsid w:val="00F467F7"/>
    <w:rsid w:val="00F5295D"/>
    <w:rsid w:val="00F53A1C"/>
    <w:rsid w:val="00F54196"/>
    <w:rsid w:val="00F62B04"/>
    <w:rsid w:val="00F743B7"/>
    <w:rsid w:val="00F84413"/>
    <w:rsid w:val="00FB67B9"/>
    <w:rsid w:val="00FC5CE0"/>
    <w:rsid w:val="00FE3CF2"/>
    <w:rsid w:val="00FF1F01"/>
    <w:rsid w:val="0CCD4073"/>
    <w:rsid w:val="10B24648"/>
    <w:rsid w:val="150359D2"/>
    <w:rsid w:val="19F2093E"/>
    <w:rsid w:val="26AA0D63"/>
    <w:rsid w:val="275E0C01"/>
    <w:rsid w:val="2BEB3AE2"/>
    <w:rsid w:val="3A71068C"/>
    <w:rsid w:val="3AA83938"/>
    <w:rsid w:val="455A2E87"/>
    <w:rsid w:val="4A9E0313"/>
    <w:rsid w:val="56153794"/>
    <w:rsid w:val="5AEE2522"/>
    <w:rsid w:val="64932274"/>
    <w:rsid w:val="6497055E"/>
    <w:rsid w:val="697928BB"/>
    <w:rsid w:val="6C3E5D95"/>
    <w:rsid w:val="70E74148"/>
    <w:rsid w:val="76247195"/>
    <w:rsid w:val="769A3B4D"/>
    <w:rsid w:val="76B42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semiHidden/>
    <w:unhideWhenUsed/>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uiPriority w:val="99"/>
    <w:pPr>
      <w:tabs>
        <w:tab w:val="center" w:pos="4153"/>
        <w:tab w:val="right" w:pos="8306"/>
      </w:tabs>
      <w:snapToGrid w:val="0"/>
      <w:jc w:val="left"/>
    </w:pPr>
    <w:rPr>
      <w:sz w:val="18"/>
      <w:szCs w:val="18"/>
    </w:rPr>
  </w:style>
  <w:style w:type="paragraph" w:styleId="5">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2"/>
    <w:semiHidden/>
    <w:unhideWhenUsed/>
    <w:uiPriority w:val="99"/>
    <w:rPr>
      <w:b/>
      <w:bCs/>
    </w:rPr>
  </w:style>
  <w:style w:type="table" w:styleId="8">
    <w:name w:val="Table Grid"/>
    <w:basedOn w:val="7"/>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批注文字 字符"/>
    <w:basedOn w:val="9"/>
    <w:link w:val="2"/>
    <w:semiHidden/>
    <w:uiPriority w:val="99"/>
  </w:style>
  <w:style w:type="character" w:customStyle="1" w:styleId="12">
    <w:name w:val="批注主题 字符"/>
    <w:basedOn w:val="11"/>
    <w:link w:val="6"/>
    <w:semiHidden/>
    <w:uiPriority w:val="99"/>
    <w:rPr>
      <w:b/>
      <w:bCs/>
    </w:rPr>
  </w:style>
  <w:style w:type="character" w:customStyle="1" w:styleId="13">
    <w:name w:val="批注框文本 字符"/>
    <w:basedOn w:val="9"/>
    <w:link w:val="3"/>
    <w:semiHidden/>
    <w:uiPriority w:val="99"/>
    <w:rPr>
      <w:sz w:val="18"/>
      <w:szCs w:val="18"/>
    </w:rPr>
  </w:style>
  <w:style w:type="character" w:customStyle="1" w:styleId="14">
    <w:name w:val="页眉 字符"/>
    <w:basedOn w:val="9"/>
    <w:link w:val="5"/>
    <w:qFormat/>
    <w:uiPriority w:val="99"/>
    <w:rPr>
      <w:sz w:val="18"/>
      <w:szCs w:val="18"/>
    </w:rPr>
  </w:style>
  <w:style w:type="character" w:customStyle="1" w:styleId="15">
    <w:name w:val="页脚 字符"/>
    <w:basedOn w:val="9"/>
    <w:link w:val="4"/>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F22AA5-E418-4146-8E29-48FC23E7B7F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366</Words>
  <Characters>2090</Characters>
  <Lines>17</Lines>
  <Paragraphs>4</Paragraphs>
  <TotalTime>1</TotalTime>
  <ScaleCrop>false</ScaleCrop>
  <LinksUpToDate>false</LinksUpToDate>
  <CharactersWithSpaces>2452</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2013-01-29T15:46:00Z</dcterms:created>
  <dc:creator>Microsoft</dc:creator>
  <cp:lastModifiedBy>奶奶茶</cp:lastModifiedBy>
  <cp:lastPrinted>2018-06-03T09:10:00Z</cp:lastPrinted>
  <dcterms:modified xsi:type="dcterms:W3CDTF">2020-12-11T02:08:59Z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