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320" w:rsidRDefault="00630320" w:rsidP="00675DE6">
      <w:pPr>
        <w:widowControl w:val="0"/>
        <w:spacing w:line="276" w:lineRule="auto"/>
        <w:jc w:val="both"/>
        <w:rPr>
          <w:rFonts w:ascii="Arial" w:eastAsia="SimSun" w:hAnsi="Arial" w:cs="Arial"/>
          <w:b/>
          <w:kern w:val="2"/>
          <w:sz w:val="24"/>
          <w:szCs w:val="24"/>
        </w:rPr>
      </w:pPr>
      <w:r w:rsidRPr="00630320">
        <w:rPr>
          <w:rFonts w:ascii="Arial" w:eastAsia="SimSun" w:hAnsi="Arial" w:cs="Arial"/>
          <w:b/>
          <w:kern w:val="2"/>
          <w:sz w:val="24"/>
          <w:szCs w:val="24"/>
        </w:rPr>
        <w:t xml:space="preserve">Azoramide protects iPSC-derived dopaminergic neurons with PLA2G6 D331Y mutation through restoring ER function and CREB signaling </w:t>
      </w:r>
    </w:p>
    <w:p w:rsidR="00675DE6" w:rsidRPr="00675DE6" w:rsidRDefault="00675DE6" w:rsidP="00675DE6">
      <w:pPr>
        <w:widowControl w:val="0"/>
        <w:spacing w:line="276" w:lineRule="auto"/>
        <w:jc w:val="both"/>
        <w:rPr>
          <w:rFonts w:ascii="Arial" w:eastAsia="PMingLiU" w:hAnsi="Arial" w:cs="Arial"/>
          <w:b/>
          <w:bCs/>
          <w:color w:val="000000"/>
          <w:kern w:val="2"/>
          <w:sz w:val="24"/>
          <w:szCs w:val="24"/>
          <w:lang w:eastAsia="zh-MO"/>
        </w:rPr>
      </w:pPr>
      <w:r w:rsidRPr="00675DE6">
        <w:rPr>
          <w:rFonts w:ascii="Arial" w:eastAsia="SimSun" w:hAnsi="Arial" w:cs="Arial"/>
          <w:kern w:val="2"/>
          <w:sz w:val="24"/>
          <w:szCs w:val="24"/>
        </w:rPr>
        <w:t>Minjing</w:t>
      </w:r>
      <w:r w:rsidRPr="00675DE6">
        <w:rPr>
          <w:rFonts w:ascii="Arial" w:eastAsia="PMingLiU" w:hAnsi="Arial" w:cs="Arial"/>
          <w:kern w:val="2"/>
          <w:sz w:val="24"/>
          <w:szCs w:val="24"/>
          <w:lang w:eastAsia="zh-MO"/>
        </w:rPr>
        <w:t xml:space="preserve"> </w:t>
      </w:r>
      <w:r w:rsidRPr="00675DE6">
        <w:rPr>
          <w:rFonts w:ascii="Arial" w:eastAsia="SimSun" w:hAnsi="Arial" w:cs="Arial"/>
          <w:kern w:val="2"/>
          <w:sz w:val="24"/>
          <w:szCs w:val="24"/>
        </w:rPr>
        <w:t>Ke</w:t>
      </w:r>
      <w:r w:rsidRPr="00675DE6">
        <w:rPr>
          <w:rFonts w:ascii="Arial" w:eastAsia="SimSun" w:hAnsi="Arial" w:cs="Arial"/>
          <w:kern w:val="2"/>
          <w:sz w:val="24"/>
          <w:szCs w:val="24"/>
          <w:vertAlign w:val="superscript"/>
        </w:rPr>
        <w:t>1</w:t>
      </w:r>
      <w:r w:rsidRPr="00675DE6">
        <w:rPr>
          <w:rFonts w:ascii="Arial" w:eastAsia="PMingLiU" w:hAnsi="Arial" w:cs="Arial"/>
          <w:kern w:val="2"/>
          <w:sz w:val="24"/>
          <w:szCs w:val="24"/>
          <w:vertAlign w:val="superscript"/>
          <w:lang w:eastAsia="zh-MO"/>
        </w:rPr>
        <w:t>, #</w:t>
      </w:r>
      <w:r w:rsidRPr="00675DE6">
        <w:rPr>
          <w:rFonts w:ascii="Arial" w:eastAsia="SimSun" w:hAnsi="Arial" w:cs="Arial"/>
          <w:kern w:val="2"/>
          <w:sz w:val="24"/>
          <w:szCs w:val="24"/>
        </w:rPr>
        <w:t>, Che</w:t>
      </w:r>
      <w:r w:rsidRPr="00675DE6">
        <w:rPr>
          <w:rFonts w:ascii="Arial" w:eastAsia="PMingLiU" w:hAnsi="Arial" w:cs="Arial"/>
          <w:kern w:val="2"/>
          <w:sz w:val="24"/>
          <w:szCs w:val="24"/>
          <w:lang w:eastAsia="zh-MO"/>
        </w:rPr>
        <w:t>o</w:t>
      </w:r>
      <w:r w:rsidRPr="00675DE6">
        <w:rPr>
          <w:rFonts w:ascii="Arial" w:eastAsia="SimSun" w:hAnsi="Arial" w:cs="Arial"/>
          <w:kern w:val="2"/>
          <w:sz w:val="24"/>
          <w:szCs w:val="24"/>
        </w:rPr>
        <w:t>ng</w:t>
      </w:r>
      <w:r w:rsidRPr="00675DE6">
        <w:rPr>
          <w:rFonts w:ascii="Arial" w:eastAsia="PMingLiU" w:hAnsi="Arial" w:cs="Arial"/>
          <w:kern w:val="2"/>
          <w:sz w:val="24"/>
          <w:szCs w:val="24"/>
          <w:lang w:eastAsia="zh-MO"/>
        </w:rPr>
        <w:t>-M</w:t>
      </w:r>
      <w:r w:rsidRPr="00675DE6">
        <w:rPr>
          <w:rFonts w:ascii="Arial" w:eastAsia="SimSun" w:hAnsi="Arial" w:cs="Arial"/>
          <w:kern w:val="2"/>
          <w:sz w:val="24"/>
          <w:szCs w:val="24"/>
        </w:rPr>
        <w:t>eng Chong</w:t>
      </w:r>
      <w:r w:rsidRPr="00675DE6">
        <w:rPr>
          <w:rFonts w:ascii="Arial" w:eastAsia="SimSun" w:hAnsi="Arial" w:cs="Arial"/>
          <w:kern w:val="2"/>
          <w:sz w:val="24"/>
          <w:szCs w:val="24"/>
          <w:vertAlign w:val="superscript"/>
        </w:rPr>
        <w:t>1</w:t>
      </w:r>
      <w:r w:rsidRPr="00675DE6">
        <w:rPr>
          <w:rFonts w:ascii="Arial" w:eastAsia="PMingLiU" w:hAnsi="Arial" w:cs="Arial"/>
          <w:kern w:val="2"/>
          <w:sz w:val="24"/>
          <w:szCs w:val="24"/>
          <w:vertAlign w:val="superscript"/>
          <w:lang w:eastAsia="zh-MO"/>
        </w:rPr>
        <w:t>, #</w:t>
      </w:r>
      <w:r w:rsidRPr="00675DE6">
        <w:rPr>
          <w:rFonts w:ascii="Arial" w:eastAsia="SimSun" w:hAnsi="Arial" w:cs="Arial"/>
          <w:kern w:val="2"/>
          <w:sz w:val="24"/>
          <w:szCs w:val="24"/>
        </w:rPr>
        <w:t>, Haitao Zeng</w:t>
      </w:r>
      <w:r w:rsidRPr="00675DE6">
        <w:rPr>
          <w:rFonts w:ascii="Arial" w:eastAsia="SimSun" w:hAnsi="Arial" w:cs="Arial"/>
          <w:kern w:val="2"/>
          <w:sz w:val="24"/>
          <w:szCs w:val="24"/>
          <w:vertAlign w:val="superscript"/>
        </w:rPr>
        <w:t>2</w:t>
      </w:r>
      <w:r w:rsidRPr="00675DE6">
        <w:rPr>
          <w:rFonts w:ascii="Arial" w:eastAsia="SimSun" w:hAnsi="Arial" w:cs="Arial"/>
          <w:kern w:val="2"/>
          <w:sz w:val="24"/>
          <w:szCs w:val="24"/>
        </w:rPr>
        <w:t>, Miaodan Huang</w:t>
      </w:r>
      <w:r w:rsidRPr="00675DE6">
        <w:rPr>
          <w:rFonts w:ascii="Arial" w:eastAsia="SimSun" w:hAnsi="Arial" w:cs="Arial"/>
          <w:kern w:val="2"/>
          <w:sz w:val="24"/>
          <w:szCs w:val="24"/>
          <w:vertAlign w:val="superscript"/>
        </w:rPr>
        <w:t>1</w:t>
      </w:r>
      <w:r w:rsidRPr="00675DE6">
        <w:rPr>
          <w:rFonts w:ascii="Arial" w:eastAsia="SimSun" w:hAnsi="Arial" w:cs="Arial"/>
          <w:kern w:val="2"/>
          <w:sz w:val="24"/>
          <w:szCs w:val="24"/>
        </w:rPr>
        <w:t>,</w:t>
      </w:r>
      <w:r w:rsidRPr="00675DE6">
        <w:rPr>
          <w:rFonts w:ascii="Arial" w:eastAsia="PMingLiU" w:hAnsi="Arial" w:cs="Arial"/>
          <w:kern w:val="2"/>
          <w:sz w:val="24"/>
          <w:szCs w:val="24"/>
          <w:lang w:eastAsia="zh-MO"/>
        </w:rPr>
        <w:t xml:space="preserve"> </w:t>
      </w:r>
      <w:r w:rsidRPr="00675DE6">
        <w:rPr>
          <w:rFonts w:ascii="Arial" w:eastAsia="SimSun" w:hAnsi="Arial" w:cs="Arial"/>
          <w:kern w:val="2"/>
          <w:sz w:val="24"/>
          <w:szCs w:val="24"/>
        </w:rPr>
        <w:t>Zhijian Huang</w:t>
      </w:r>
      <w:r w:rsidRPr="00675DE6">
        <w:rPr>
          <w:rFonts w:ascii="Arial" w:eastAsia="SimSun" w:hAnsi="Arial" w:cs="Arial"/>
          <w:kern w:val="2"/>
          <w:sz w:val="24"/>
          <w:szCs w:val="24"/>
          <w:vertAlign w:val="superscript"/>
        </w:rPr>
        <w:t>1</w:t>
      </w:r>
      <w:r w:rsidRPr="00675DE6">
        <w:rPr>
          <w:rFonts w:ascii="Arial" w:eastAsia="SimSun" w:hAnsi="Arial" w:cs="Arial"/>
          <w:kern w:val="2"/>
          <w:sz w:val="24"/>
          <w:szCs w:val="24"/>
        </w:rPr>
        <w:t>, Ke Zhang</w:t>
      </w:r>
      <w:r w:rsidRPr="00675DE6">
        <w:rPr>
          <w:rFonts w:ascii="Arial" w:eastAsia="SimSun" w:hAnsi="Arial" w:cs="Arial"/>
          <w:kern w:val="2"/>
          <w:sz w:val="24"/>
          <w:szCs w:val="24"/>
          <w:vertAlign w:val="superscript"/>
        </w:rPr>
        <w:t>1</w:t>
      </w:r>
      <w:r w:rsidRPr="00675DE6">
        <w:rPr>
          <w:rFonts w:ascii="Arial" w:eastAsia="SimSun" w:hAnsi="Arial" w:cs="Arial"/>
          <w:kern w:val="2"/>
          <w:sz w:val="24"/>
          <w:szCs w:val="24"/>
        </w:rPr>
        <w:t>,</w:t>
      </w:r>
      <w:r w:rsidRPr="00675DE6">
        <w:rPr>
          <w:rFonts w:ascii="Arial" w:eastAsia="PMingLiU" w:hAnsi="Arial" w:cs="Arial"/>
          <w:kern w:val="2"/>
          <w:sz w:val="24"/>
          <w:szCs w:val="24"/>
          <w:lang w:eastAsia="zh-MO"/>
        </w:rPr>
        <w:t xml:space="preserve"> 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MO"/>
        </w:rPr>
        <w:t>Xiaotong Cen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vertAlign w:val="superscript"/>
          <w:lang w:eastAsia="zh-MO"/>
        </w:rPr>
        <w:t>3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MO"/>
        </w:rPr>
        <w:t>, Jia-Hong Lu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vertAlign w:val="superscript"/>
          <w:lang w:eastAsia="zh-MO"/>
        </w:rPr>
        <w:t>1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MO"/>
        </w:rPr>
        <w:t xml:space="preserve">, 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TW"/>
        </w:rPr>
        <w:t>Xiaoli Yao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vertAlign w:val="superscript"/>
          <w:lang w:eastAsia="zh-TW"/>
        </w:rPr>
        <w:t>4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TW"/>
        </w:rPr>
        <w:t>, Dajiang Qin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vertAlign w:val="superscript"/>
          <w:lang w:eastAsia="zh-TW"/>
        </w:rPr>
        <w:t>3*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TW"/>
        </w:rPr>
        <w:t>, Huanxing Su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vertAlign w:val="superscript"/>
          <w:lang w:eastAsia="zh-TW"/>
        </w:rPr>
        <w:t>1*</w:t>
      </w:r>
    </w:p>
    <w:p w:rsidR="00675DE6" w:rsidRPr="00675DE6" w:rsidRDefault="00675DE6" w:rsidP="00675DE6">
      <w:pPr>
        <w:widowControl w:val="0"/>
        <w:spacing w:after="0" w:line="276" w:lineRule="auto"/>
        <w:jc w:val="both"/>
        <w:rPr>
          <w:rFonts w:ascii="Times New Roman" w:eastAsia="PMingLiU" w:hAnsi="Times New Roman" w:cs="Times New Roman"/>
          <w:bCs/>
          <w:color w:val="000000"/>
          <w:kern w:val="2"/>
          <w:sz w:val="24"/>
          <w:szCs w:val="24"/>
          <w:lang w:eastAsia="zh-TW"/>
        </w:rPr>
      </w:pPr>
    </w:p>
    <w:p w:rsidR="00675DE6" w:rsidRPr="00675DE6" w:rsidRDefault="00675DE6" w:rsidP="00675DE6">
      <w:pPr>
        <w:widowControl w:val="0"/>
        <w:spacing w:after="0" w:line="360" w:lineRule="auto"/>
        <w:jc w:val="both"/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MO"/>
        </w:rPr>
      </w:pP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vertAlign w:val="superscript"/>
          <w:lang w:eastAsia="zh-TW"/>
        </w:rPr>
        <w:t>1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TW"/>
        </w:rPr>
        <w:t>State Key Laboratory of Quality Research in Chinese Medicine, Institute of Chinese Medical Sciences, University of Macau, Macao, China</w:t>
      </w:r>
    </w:p>
    <w:p w:rsidR="00675DE6" w:rsidRPr="00675DE6" w:rsidRDefault="00675DE6" w:rsidP="00675DE6">
      <w:pPr>
        <w:widowControl w:val="0"/>
        <w:spacing w:after="0" w:line="360" w:lineRule="auto"/>
        <w:jc w:val="both"/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MO"/>
        </w:rPr>
      </w:pP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vertAlign w:val="superscript"/>
          <w:lang w:eastAsia="zh-MO"/>
        </w:rPr>
        <w:t>2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MO"/>
        </w:rPr>
        <w:t>Center for Reproductive Medicine, the</w:t>
      </w:r>
      <w:r w:rsidRPr="00675DE6">
        <w:rPr>
          <w:rFonts w:ascii="Arial" w:eastAsia="SimSun" w:hAnsi="Arial" w:cs="Arial" w:hint="eastAsia"/>
          <w:bCs/>
          <w:color w:val="000000"/>
          <w:kern w:val="2"/>
          <w:sz w:val="24"/>
          <w:szCs w:val="24"/>
        </w:rPr>
        <w:t xml:space="preserve"> 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MO"/>
        </w:rPr>
        <w:t>Sixth Affiliated Hospital</w:t>
      </w:r>
      <w:r w:rsidRPr="00675DE6">
        <w:rPr>
          <w:rFonts w:ascii="Arial" w:eastAsia="SimSun" w:hAnsi="Arial" w:cs="Arial" w:hint="eastAsia"/>
          <w:bCs/>
          <w:color w:val="000000"/>
          <w:kern w:val="2"/>
          <w:sz w:val="24"/>
          <w:szCs w:val="24"/>
        </w:rPr>
        <w:t xml:space="preserve"> of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MO"/>
        </w:rPr>
        <w:t xml:space="preserve"> Sun Yat-Sen University, Guangzhou 510080, China</w:t>
      </w:r>
    </w:p>
    <w:p w:rsidR="00675DE6" w:rsidRPr="00675DE6" w:rsidRDefault="00675DE6" w:rsidP="00675DE6">
      <w:pPr>
        <w:widowControl w:val="0"/>
        <w:spacing w:after="0" w:line="360" w:lineRule="auto"/>
        <w:jc w:val="both"/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MO"/>
        </w:rPr>
      </w:pP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vertAlign w:val="superscript"/>
          <w:lang w:eastAsia="zh-TW"/>
        </w:rPr>
        <w:t>3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TW"/>
        </w:rPr>
        <w:t>South China Institute for Stem Cell Biology and Regenerative Medicine, Guangzhou Institute of Biomedicine and Health, Chinese Academy of Sciences, Guangzhou, China</w:t>
      </w:r>
    </w:p>
    <w:p w:rsidR="00675DE6" w:rsidRPr="00675DE6" w:rsidRDefault="00675DE6" w:rsidP="00675DE6">
      <w:pPr>
        <w:widowControl w:val="0"/>
        <w:spacing w:after="0" w:line="360" w:lineRule="auto"/>
        <w:jc w:val="both"/>
        <w:rPr>
          <w:rFonts w:ascii="Arial" w:eastAsia="PMingLiU" w:hAnsi="Arial" w:cs="Arial"/>
          <w:kern w:val="2"/>
          <w:sz w:val="24"/>
          <w:szCs w:val="24"/>
          <w:lang w:eastAsia="zh-MO"/>
        </w:rPr>
      </w:pP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vertAlign w:val="superscript"/>
          <w:lang w:eastAsia="zh-TW"/>
        </w:rPr>
        <w:t>4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TW"/>
        </w:rPr>
        <w:t>Department of Neurology, National Key Clinical Department and Key Discipline of Neurology, the</w:t>
      </w:r>
      <w:r w:rsidRPr="00675DE6">
        <w:rPr>
          <w:rFonts w:ascii="Arial" w:eastAsia="SimSun" w:hAnsi="Arial" w:cs="Arial" w:hint="eastAsia"/>
          <w:bCs/>
          <w:color w:val="000000"/>
          <w:kern w:val="2"/>
          <w:sz w:val="24"/>
          <w:szCs w:val="24"/>
        </w:rPr>
        <w:t xml:space="preserve"> 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TW"/>
        </w:rPr>
        <w:t xml:space="preserve">First Affiliated Hospital </w:t>
      </w:r>
      <w:r w:rsidRPr="00675DE6">
        <w:rPr>
          <w:rFonts w:ascii="Arial" w:eastAsia="SimSun" w:hAnsi="Arial" w:cs="Arial" w:hint="eastAsia"/>
          <w:bCs/>
          <w:color w:val="000000"/>
          <w:kern w:val="2"/>
          <w:sz w:val="24"/>
          <w:szCs w:val="24"/>
        </w:rPr>
        <w:t xml:space="preserve">of </w:t>
      </w:r>
      <w:r w:rsidRPr="00675DE6">
        <w:rPr>
          <w:rFonts w:ascii="Arial" w:eastAsia="PMingLiU" w:hAnsi="Arial" w:cs="Arial"/>
          <w:bCs/>
          <w:color w:val="000000"/>
          <w:kern w:val="2"/>
          <w:sz w:val="24"/>
          <w:szCs w:val="24"/>
          <w:lang w:eastAsia="zh-TW"/>
        </w:rPr>
        <w:t>Sun Yat-Sen University, Guangzhou 510080, China</w:t>
      </w:r>
    </w:p>
    <w:p w:rsidR="00675DE6" w:rsidRPr="00675DE6" w:rsidRDefault="00675DE6" w:rsidP="00675DE6">
      <w:pPr>
        <w:widowControl w:val="0"/>
        <w:spacing w:after="0" w:line="360" w:lineRule="auto"/>
        <w:jc w:val="both"/>
        <w:rPr>
          <w:rFonts w:ascii="Arial" w:eastAsia="PMingLiU" w:hAnsi="Arial" w:cs="Arial"/>
          <w:bCs/>
          <w:kern w:val="2"/>
          <w:sz w:val="24"/>
          <w:szCs w:val="24"/>
        </w:rPr>
      </w:pPr>
      <w:r w:rsidRPr="00675DE6">
        <w:rPr>
          <w:rFonts w:ascii="Arial" w:eastAsia="SimSun" w:hAnsi="Arial" w:cs="Arial"/>
          <w:bCs/>
          <w:kern w:val="2"/>
          <w:sz w:val="24"/>
          <w:szCs w:val="24"/>
          <w:vertAlign w:val="superscript"/>
          <w:lang w:eastAsia="zh-MO"/>
        </w:rPr>
        <w:t>#</w:t>
      </w:r>
      <w:r w:rsidRPr="00675DE6">
        <w:rPr>
          <w:rFonts w:ascii="Arial" w:eastAsia="PMingLiU" w:hAnsi="Arial" w:cs="Arial"/>
          <w:bCs/>
          <w:kern w:val="2"/>
          <w:sz w:val="24"/>
          <w:szCs w:val="24"/>
        </w:rPr>
        <w:t>These authors contributed equally to this work.</w:t>
      </w:r>
    </w:p>
    <w:p w:rsidR="00675DE6" w:rsidRPr="00675DE6" w:rsidRDefault="00675DE6" w:rsidP="00675DE6">
      <w:pPr>
        <w:widowControl w:val="0"/>
        <w:spacing w:after="0" w:line="360" w:lineRule="auto"/>
        <w:jc w:val="both"/>
        <w:rPr>
          <w:rFonts w:ascii="Arial" w:eastAsia="SimSun" w:hAnsi="Arial" w:cs="Arial"/>
          <w:bCs/>
          <w:kern w:val="2"/>
          <w:sz w:val="24"/>
          <w:szCs w:val="24"/>
        </w:rPr>
      </w:pPr>
    </w:p>
    <w:p w:rsidR="00675DE6" w:rsidRPr="00675DE6" w:rsidRDefault="00675DE6" w:rsidP="00675DE6">
      <w:pPr>
        <w:widowControl w:val="0"/>
        <w:spacing w:after="0" w:line="360" w:lineRule="auto"/>
        <w:jc w:val="both"/>
        <w:rPr>
          <w:rFonts w:ascii="Arial" w:eastAsia="PMingLiU" w:hAnsi="Arial" w:cs="Arial"/>
          <w:b/>
          <w:bCs/>
          <w:kern w:val="2"/>
          <w:sz w:val="24"/>
          <w:szCs w:val="24"/>
        </w:rPr>
      </w:pPr>
      <w:r w:rsidRPr="00675DE6">
        <w:rPr>
          <w:rFonts w:ascii="Arial" w:eastAsia="PMingLiU" w:hAnsi="Arial" w:cs="Arial"/>
          <w:b/>
          <w:bCs/>
          <w:kern w:val="2"/>
          <w:sz w:val="24"/>
          <w:szCs w:val="24"/>
        </w:rPr>
        <w:t>*Correspond</w:t>
      </w:r>
      <w:r w:rsidRPr="00675DE6">
        <w:rPr>
          <w:rFonts w:ascii="Arial" w:eastAsia="SimSun" w:hAnsi="Arial" w:cs="Arial"/>
          <w:b/>
          <w:bCs/>
          <w:kern w:val="2"/>
          <w:sz w:val="24"/>
          <w:szCs w:val="24"/>
        </w:rPr>
        <w:t>ence to</w:t>
      </w:r>
      <w:r w:rsidRPr="00675DE6">
        <w:rPr>
          <w:rFonts w:ascii="Arial" w:eastAsia="PMingLiU" w:hAnsi="Arial" w:cs="Arial"/>
          <w:b/>
          <w:bCs/>
          <w:kern w:val="2"/>
          <w:sz w:val="24"/>
          <w:szCs w:val="24"/>
        </w:rPr>
        <w:t>:</w:t>
      </w:r>
    </w:p>
    <w:p w:rsidR="00675DE6" w:rsidRPr="00675DE6" w:rsidRDefault="00675DE6" w:rsidP="00675DE6">
      <w:pPr>
        <w:widowControl w:val="0"/>
        <w:spacing w:after="0" w:line="360" w:lineRule="auto"/>
        <w:jc w:val="both"/>
        <w:rPr>
          <w:rFonts w:ascii="Arial" w:eastAsia="PMingLiU" w:hAnsi="Arial" w:cs="Arial"/>
          <w:bCs/>
          <w:kern w:val="2"/>
          <w:sz w:val="24"/>
          <w:szCs w:val="24"/>
          <w:lang w:eastAsia="zh-MO"/>
        </w:rPr>
      </w:pPr>
      <w:r w:rsidRPr="00675DE6">
        <w:rPr>
          <w:rFonts w:ascii="Arial" w:eastAsia="PMingLiU" w:hAnsi="Arial" w:cs="Arial"/>
          <w:bCs/>
          <w:kern w:val="2"/>
          <w:sz w:val="24"/>
          <w:szCs w:val="24"/>
        </w:rPr>
        <w:t>Huanxing Su, State Key Laboratory of Quality Research in Chinese Medicine, Institute of Chinese Medical Sciences, University of Macau, Macao, China</w:t>
      </w:r>
      <w:r w:rsidRPr="00675DE6">
        <w:rPr>
          <w:rFonts w:ascii="Arial" w:eastAsia="PMingLiU" w:hAnsi="Arial" w:cs="Arial"/>
          <w:bCs/>
          <w:kern w:val="2"/>
          <w:sz w:val="24"/>
          <w:szCs w:val="24"/>
          <w:lang w:eastAsia="zh-MO"/>
        </w:rPr>
        <w:t xml:space="preserve">. </w:t>
      </w:r>
    </w:p>
    <w:p w:rsidR="00675DE6" w:rsidRPr="00675DE6" w:rsidRDefault="00675DE6" w:rsidP="00675DE6">
      <w:pPr>
        <w:widowControl w:val="0"/>
        <w:spacing w:after="0" w:line="360" w:lineRule="auto"/>
        <w:jc w:val="both"/>
        <w:rPr>
          <w:rFonts w:ascii="Arial" w:eastAsia="PMingLiU" w:hAnsi="Arial" w:cs="Arial"/>
          <w:bCs/>
          <w:kern w:val="2"/>
          <w:sz w:val="24"/>
          <w:szCs w:val="24"/>
        </w:rPr>
      </w:pPr>
      <w:r w:rsidRPr="00675DE6">
        <w:rPr>
          <w:rFonts w:ascii="Arial" w:eastAsia="PMingLiU" w:hAnsi="Arial" w:cs="Arial"/>
          <w:bCs/>
          <w:kern w:val="2"/>
          <w:sz w:val="24"/>
          <w:szCs w:val="24"/>
        </w:rPr>
        <w:t>Tel: (853) 8822 8518; Fax: (853) 2884 1358</w:t>
      </w:r>
    </w:p>
    <w:p w:rsidR="00675DE6" w:rsidRPr="00675DE6" w:rsidRDefault="00675DE6" w:rsidP="00675DE6">
      <w:pPr>
        <w:widowControl w:val="0"/>
        <w:spacing w:after="0" w:line="360" w:lineRule="auto"/>
        <w:jc w:val="both"/>
        <w:rPr>
          <w:rFonts w:ascii="Arial" w:eastAsia="SimSun" w:hAnsi="Arial" w:cs="Arial"/>
          <w:bCs/>
          <w:kern w:val="2"/>
          <w:sz w:val="24"/>
          <w:szCs w:val="24"/>
        </w:rPr>
      </w:pPr>
      <w:r w:rsidRPr="00675DE6">
        <w:rPr>
          <w:rFonts w:ascii="Arial" w:eastAsia="PMingLiU" w:hAnsi="Arial" w:cs="Arial"/>
          <w:bCs/>
          <w:kern w:val="2"/>
          <w:sz w:val="24"/>
          <w:szCs w:val="24"/>
          <w:lang w:eastAsia="zh-MO"/>
        </w:rPr>
        <w:t xml:space="preserve">Email: </w:t>
      </w:r>
      <w:hyperlink r:id="rId6" w:history="1">
        <w:r w:rsidRPr="00675DE6">
          <w:rPr>
            <w:rFonts w:ascii="Arial" w:eastAsia="PMingLiU" w:hAnsi="Arial" w:cs="Arial"/>
            <w:bCs/>
            <w:color w:val="0563C1"/>
            <w:kern w:val="2"/>
            <w:sz w:val="24"/>
            <w:szCs w:val="24"/>
            <w:u w:val="single"/>
            <w:lang w:eastAsia="zh-MO"/>
          </w:rPr>
          <w:t>huanxingsu@um.edu.mo</w:t>
        </w:r>
      </w:hyperlink>
    </w:p>
    <w:p w:rsidR="00675DE6" w:rsidRPr="00675DE6" w:rsidRDefault="00675DE6" w:rsidP="00675DE6">
      <w:pPr>
        <w:widowControl w:val="0"/>
        <w:spacing w:after="0" w:line="360" w:lineRule="auto"/>
        <w:jc w:val="both"/>
        <w:outlineLvl w:val="1"/>
        <w:rPr>
          <w:rFonts w:ascii="Arial" w:eastAsia="SimSun" w:hAnsi="Arial" w:cs="Arial"/>
          <w:kern w:val="2"/>
          <w:sz w:val="24"/>
          <w:szCs w:val="24"/>
        </w:rPr>
      </w:pPr>
      <w:r w:rsidRPr="00675DE6">
        <w:rPr>
          <w:rFonts w:ascii="Arial" w:eastAsia="SimSun" w:hAnsi="Arial" w:cs="Arial"/>
          <w:kern w:val="2"/>
          <w:sz w:val="24"/>
          <w:szCs w:val="24"/>
        </w:rPr>
        <w:t>Dajiang Qin, South China Institute for Stem Cell Biology and Regenerative Medicine, Guangzhou Institutes of Biomedicine and Health, Chinese Academy of Sciences, Guangzhou, China</w:t>
      </w:r>
    </w:p>
    <w:p w:rsidR="00675DE6" w:rsidRDefault="00675DE6" w:rsidP="00C128D7">
      <w:pPr>
        <w:widowControl w:val="0"/>
        <w:spacing w:after="0" w:line="360" w:lineRule="auto"/>
        <w:jc w:val="both"/>
        <w:outlineLvl w:val="1"/>
      </w:pPr>
      <w:r w:rsidRPr="00675DE6">
        <w:rPr>
          <w:rFonts w:ascii="Arial" w:eastAsia="SimSun" w:hAnsi="Arial" w:cs="Arial"/>
          <w:kern w:val="2"/>
          <w:sz w:val="24"/>
          <w:szCs w:val="24"/>
        </w:rPr>
        <w:t xml:space="preserve">Email: </w:t>
      </w:r>
      <w:hyperlink r:id="rId7" w:history="1">
        <w:r w:rsidRPr="00675DE6">
          <w:rPr>
            <w:rFonts w:ascii="Arial" w:eastAsia="SimSun" w:hAnsi="Arial" w:cs="Arial"/>
            <w:color w:val="0563C1"/>
            <w:kern w:val="2"/>
            <w:sz w:val="24"/>
            <w:szCs w:val="24"/>
            <w:u w:val="single"/>
          </w:rPr>
          <w:t>qin_dajiang@gibh.ac.cn</w:t>
        </w:r>
      </w:hyperlink>
    </w:p>
    <w:p w:rsidR="00675DE6" w:rsidRDefault="00675DE6"/>
    <w:p w:rsidR="00675DE6" w:rsidRDefault="00675DE6">
      <w:pPr>
        <w:rPr>
          <w:noProof/>
        </w:rPr>
      </w:pPr>
      <w:r w:rsidRPr="002016CA">
        <w:rPr>
          <w:rFonts w:ascii="Arial" w:hAnsi="Arial" w:cs="Arial"/>
          <w:b/>
          <w:sz w:val="24"/>
          <w:szCs w:val="24"/>
        </w:rPr>
        <w:t xml:space="preserve">Supplementary </w:t>
      </w:r>
      <w:r w:rsidR="002016CA">
        <w:rPr>
          <w:rFonts w:ascii="Arial" w:hAnsi="Arial" w:cs="Arial"/>
          <w:b/>
          <w:sz w:val="24"/>
          <w:szCs w:val="24"/>
        </w:rPr>
        <w:t>F</w:t>
      </w:r>
      <w:r w:rsidR="00C128D7">
        <w:rPr>
          <w:rFonts w:ascii="Arial" w:hAnsi="Arial" w:cs="Arial"/>
          <w:b/>
          <w:sz w:val="24"/>
          <w:szCs w:val="24"/>
        </w:rPr>
        <w:t>igure Legends:</w:t>
      </w:r>
    </w:p>
    <w:p w:rsidR="002016CA" w:rsidRDefault="006E3E12" w:rsidP="00C128D7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Suppl. Fig </w:t>
      </w:r>
      <w:r w:rsidR="00675DE6" w:rsidRPr="00675DE6">
        <w:rPr>
          <w:rFonts w:ascii="Arial" w:hAnsi="Arial" w:cs="Arial"/>
          <w:noProof/>
          <w:sz w:val="24"/>
          <w:szCs w:val="24"/>
        </w:rPr>
        <w:t>1. Characterization of FPD PLA2G6 D331Y mutant iPSC.  (A) Immunostaining of PLA2G6wt/wt and PLA2G6D331Y/D331Y iPSCs for Nanog, Sox2, and Oct4. (B) Karyotype analysis of PLA2G6 D331Y iPSCs. (C) Genotype analysis showed that there was one homozygous mutation in exon 7 of PLA2G6 gene: C.991G &gt;t (the coding region no.991 nucleotide was mutated from G to T), leading to amino acid change p.d331y (amino acid no. 331 was mutated from aspartic acid to tyrosine), which was a miss</w:t>
      </w:r>
      <w:r>
        <w:rPr>
          <w:rFonts w:ascii="Arial" w:hAnsi="Arial" w:cs="Arial"/>
          <w:noProof/>
          <w:sz w:val="24"/>
          <w:szCs w:val="24"/>
        </w:rPr>
        <w:t xml:space="preserve">ense </w:t>
      </w:r>
      <w:r>
        <w:rPr>
          <w:rFonts w:ascii="Arial" w:hAnsi="Arial" w:cs="Arial"/>
          <w:noProof/>
          <w:sz w:val="24"/>
          <w:szCs w:val="24"/>
        </w:rPr>
        <w:lastRenderedPageBreak/>
        <w:t>mutation. (D) Teroto</w:t>
      </w:r>
      <w:r w:rsidR="00675DE6" w:rsidRPr="00675DE6">
        <w:rPr>
          <w:rFonts w:ascii="Arial" w:hAnsi="Arial" w:cs="Arial"/>
          <w:noProof/>
          <w:sz w:val="24"/>
          <w:szCs w:val="24"/>
        </w:rPr>
        <w:t>m</w:t>
      </w:r>
      <w:r>
        <w:rPr>
          <w:rFonts w:ascii="Arial" w:hAnsi="Arial" w:cs="Arial"/>
          <w:noProof/>
          <w:sz w:val="24"/>
          <w:szCs w:val="24"/>
        </w:rPr>
        <w:t>a</w:t>
      </w:r>
      <w:r w:rsidR="00675DE6" w:rsidRPr="00675DE6">
        <w:rPr>
          <w:rFonts w:ascii="Arial" w:hAnsi="Arial" w:cs="Arial"/>
          <w:noProof/>
          <w:sz w:val="24"/>
          <w:szCs w:val="24"/>
        </w:rPr>
        <w:t xml:space="preserve"> analysis of PLA2G6 D331Y iPSCs. Scale bar: 100 µm for A and 250 µm for D.</w:t>
      </w:r>
    </w:p>
    <w:p w:rsidR="00C128D7" w:rsidRDefault="00C128D7" w:rsidP="00C128D7">
      <w:pPr>
        <w:jc w:val="both"/>
        <w:rPr>
          <w:noProof/>
        </w:rPr>
      </w:pPr>
    </w:p>
    <w:p w:rsidR="00675DE6" w:rsidRDefault="006E3E12" w:rsidP="00C128D7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Suppl. Fig 2</w:t>
      </w:r>
      <w:r w:rsidR="002016CA" w:rsidRPr="002016CA">
        <w:rPr>
          <w:rFonts w:ascii="Arial" w:hAnsi="Arial" w:cs="Arial"/>
          <w:noProof/>
          <w:sz w:val="24"/>
          <w:szCs w:val="24"/>
        </w:rPr>
        <w:t xml:space="preserve">. </w:t>
      </w:r>
      <w:r w:rsidR="00CF270F">
        <w:rPr>
          <w:rFonts w:ascii="Arial" w:hAnsi="Arial" w:cs="Arial"/>
          <w:noProof/>
          <w:sz w:val="24"/>
          <w:szCs w:val="24"/>
        </w:rPr>
        <w:t>No obvious ER stress and mitochondrial dysfunction were observed</w:t>
      </w:r>
      <w:r w:rsidR="00497F99" w:rsidRPr="00497F99">
        <w:rPr>
          <w:rFonts w:ascii="Arial" w:hAnsi="Arial" w:cs="Arial"/>
          <w:noProof/>
          <w:sz w:val="24"/>
          <w:szCs w:val="24"/>
        </w:rPr>
        <w:t xml:space="preserve"> in non-dop</w:t>
      </w:r>
      <w:r w:rsidR="00350EEF">
        <w:rPr>
          <w:rFonts w:ascii="Arial" w:hAnsi="Arial" w:cs="Arial"/>
          <w:noProof/>
          <w:sz w:val="24"/>
          <w:szCs w:val="24"/>
        </w:rPr>
        <w:t xml:space="preserve">aminergic neurons </w:t>
      </w:r>
      <w:r w:rsidR="00CF270F">
        <w:rPr>
          <w:rFonts w:ascii="Arial" w:hAnsi="Arial" w:cs="Arial"/>
          <w:noProof/>
          <w:sz w:val="24"/>
          <w:szCs w:val="24"/>
        </w:rPr>
        <w:t xml:space="preserve">with </w:t>
      </w:r>
      <w:r w:rsidR="00CF270F" w:rsidRPr="00CF270F">
        <w:rPr>
          <w:rFonts w:ascii="Arial" w:hAnsi="Arial" w:cs="Arial"/>
          <w:noProof/>
          <w:sz w:val="24"/>
          <w:szCs w:val="24"/>
        </w:rPr>
        <w:t xml:space="preserve">PLA2G6 mutant </w:t>
      </w:r>
      <w:r w:rsidR="00350EEF">
        <w:rPr>
          <w:rFonts w:ascii="Arial" w:hAnsi="Arial" w:cs="Arial"/>
          <w:noProof/>
          <w:sz w:val="24"/>
          <w:szCs w:val="24"/>
        </w:rPr>
        <w:t xml:space="preserve">(A) Immunostaing showing </w:t>
      </w:r>
      <w:r w:rsidR="00350EEF" w:rsidRPr="00350EEF">
        <w:rPr>
          <w:rFonts w:ascii="Arial" w:hAnsi="Arial" w:cs="Arial"/>
          <w:noProof/>
          <w:sz w:val="24"/>
          <w:szCs w:val="24"/>
        </w:rPr>
        <w:t xml:space="preserve">non-dopaminergic neurons </w:t>
      </w:r>
      <w:r w:rsidR="00350EEF">
        <w:rPr>
          <w:rFonts w:ascii="Arial" w:hAnsi="Arial" w:cs="Arial"/>
          <w:noProof/>
          <w:sz w:val="24"/>
          <w:szCs w:val="24"/>
        </w:rPr>
        <w:t xml:space="preserve">were </w:t>
      </w:r>
      <w:r w:rsidR="00497F99" w:rsidRPr="00497F99">
        <w:rPr>
          <w:rFonts w:ascii="Arial" w:hAnsi="Arial" w:cs="Arial"/>
          <w:noProof/>
          <w:sz w:val="24"/>
          <w:szCs w:val="24"/>
        </w:rPr>
        <w:t>MAP2</w:t>
      </w:r>
      <w:r w:rsidR="00350EEF">
        <w:rPr>
          <w:rFonts w:ascii="Arial" w:hAnsi="Arial" w:cs="Arial"/>
          <w:noProof/>
          <w:sz w:val="24"/>
          <w:szCs w:val="24"/>
        </w:rPr>
        <w:t>-positive but</w:t>
      </w:r>
      <w:r w:rsidR="00497F99" w:rsidRPr="00497F99">
        <w:rPr>
          <w:rFonts w:ascii="Arial" w:hAnsi="Arial" w:cs="Arial"/>
          <w:noProof/>
          <w:sz w:val="24"/>
          <w:szCs w:val="24"/>
        </w:rPr>
        <w:t xml:space="preserve"> TH</w:t>
      </w:r>
      <w:r w:rsidR="00350EEF">
        <w:rPr>
          <w:rFonts w:ascii="Arial" w:hAnsi="Arial" w:cs="Arial"/>
          <w:noProof/>
          <w:sz w:val="24"/>
          <w:szCs w:val="24"/>
        </w:rPr>
        <w:t xml:space="preserve">-negative. </w:t>
      </w:r>
      <w:r w:rsidR="00497F99" w:rsidRPr="00497F99">
        <w:rPr>
          <w:rFonts w:ascii="Arial" w:hAnsi="Arial" w:cs="Arial"/>
          <w:noProof/>
          <w:sz w:val="24"/>
          <w:szCs w:val="24"/>
        </w:rPr>
        <w:t>(B</w:t>
      </w:r>
      <w:r w:rsidR="00350EEF">
        <w:rPr>
          <w:rFonts w:ascii="Arial" w:hAnsi="Arial" w:cs="Arial"/>
          <w:noProof/>
          <w:sz w:val="24"/>
          <w:szCs w:val="24"/>
        </w:rPr>
        <w:t>-C</w:t>
      </w:r>
      <w:r w:rsidR="00497F99" w:rsidRPr="00497F99">
        <w:rPr>
          <w:rFonts w:ascii="Arial" w:hAnsi="Arial" w:cs="Arial"/>
          <w:noProof/>
          <w:sz w:val="24"/>
          <w:szCs w:val="24"/>
        </w:rPr>
        <w:t>)</w:t>
      </w:r>
      <w:r w:rsidR="00350EEF">
        <w:rPr>
          <w:rFonts w:ascii="Arial" w:hAnsi="Arial" w:cs="Arial"/>
          <w:noProof/>
          <w:sz w:val="24"/>
          <w:szCs w:val="24"/>
        </w:rPr>
        <w:t xml:space="preserve">: Western blotting demonstrates that no elevated expresion levels of </w:t>
      </w:r>
      <w:r w:rsidR="00497F99" w:rsidRPr="00497F99">
        <w:rPr>
          <w:rFonts w:ascii="Arial" w:hAnsi="Arial" w:cs="Arial"/>
          <w:noProof/>
          <w:sz w:val="24"/>
          <w:szCs w:val="24"/>
        </w:rPr>
        <w:t xml:space="preserve">UPR </w:t>
      </w:r>
      <w:r w:rsidR="00350EEF">
        <w:rPr>
          <w:rFonts w:ascii="Arial" w:hAnsi="Arial" w:cs="Arial"/>
          <w:noProof/>
          <w:sz w:val="24"/>
          <w:szCs w:val="24"/>
        </w:rPr>
        <w:t xml:space="preserve">and </w:t>
      </w:r>
      <w:r w:rsidR="00350EEF" w:rsidRPr="00350EEF">
        <w:rPr>
          <w:rFonts w:ascii="Arial" w:hAnsi="Arial" w:cs="Arial"/>
          <w:noProof/>
          <w:sz w:val="24"/>
          <w:szCs w:val="24"/>
        </w:rPr>
        <w:t xml:space="preserve">mitochondria </w:t>
      </w:r>
      <w:r w:rsidR="00497F99" w:rsidRPr="00497F99">
        <w:rPr>
          <w:rFonts w:ascii="Arial" w:hAnsi="Arial" w:cs="Arial"/>
          <w:noProof/>
          <w:sz w:val="24"/>
          <w:szCs w:val="24"/>
        </w:rPr>
        <w:t xml:space="preserve">related proteins </w:t>
      </w:r>
      <w:r w:rsidR="00350EEF" w:rsidRPr="00350EEF">
        <w:rPr>
          <w:rFonts w:ascii="Arial" w:hAnsi="Arial" w:cs="Arial"/>
          <w:noProof/>
          <w:sz w:val="24"/>
          <w:szCs w:val="24"/>
        </w:rPr>
        <w:t xml:space="preserve">in non-dopaminergic neurons </w:t>
      </w:r>
      <w:r w:rsidR="00497F99" w:rsidRPr="00497F99">
        <w:rPr>
          <w:rFonts w:ascii="Arial" w:hAnsi="Arial" w:cs="Arial"/>
          <w:noProof/>
          <w:sz w:val="24"/>
          <w:szCs w:val="24"/>
        </w:rPr>
        <w:t xml:space="preserve">were </w:t>
      </w:r>
      <w:r w:rsidR="00350EEF">
        <w:rPr>
          <w:rFonts w:ascii="Arial" w:hAnsi="Arial" w:cs="Arial"/>
          <w:noProof/>
          <w:sz w:val="24"/>
          <w:szCs w:val="24"/>
        </w:rPr>
        <w:t xml:space="preserve">found between the PLA2G6 mutant group and the control group except that the expresion level of Chop was significanlty increased in PLA2G6 mutant neurons. </w:t>
      </w:r>
      <w:r w:rsidR="00497F99" w:rsidRPr="00497F99">
        <w:rPr>
          <w:rFonts w:ascii="Arial" w:hAnsi="Arial" w:cs="Arial"/>
          <w:noProof/>
          <w:sz w:val="24"/>
          <w:szCs w:val="24"/>
        </w:rPr>
        <w:t>(</w:t>
      </w:r>
      <w:r w:rsidR="00934D9D">
        <w:rPr>
          <w:rFonts w:ascii="Arial" w:hAnsi="Arial" w:cs="Arial"/>
          <w:noProof/>
          <w:sz w:val="24"/>
          <w:szCs w:val="24"/>
        </w:rPr>
        <w:t>D</w:t>
      </w:r>
      <w:r w:rsidR="00497F99" w:rsidRPr="00497F99">
        <w:rPr>
          <w:rFonts w:ascii="Arial" w:hAnsi="Arial" w:cs="Arial"/>
          <w:noProof/>
          <w:sz w:val="24"/>
          <w:szCs w:val="24"/>
        </w:rPr>
        <w:t>) Mitochondrial membrane potential w</w:t>
      </w:r>
      <w:r w:rsidR="00934D9D">
        <w:rPr>
          <w:rFonts w:ascii="Arial" w:hAnsi="Arial" w:cs="Arial"/>
          <w:noProof/>
          <w:sz w:val="24"/>
          <w:szCs w:val="24"/>
        </w:rPr>
        <w:t>as determined by JC-1 staining.</w:t>
      </w:r>
      <w:r w:rsidR="00497F99" w:rsidRPr="00497F99">
        <w:rPr>
          <w:rFonts w:ascii="Arial" w:hAnsi="Arial" w:cs="Arial"/>
          <w:noProof/>
          <w:sz w:val="24"/>
          <w:szCs w:val="24"/>
        </w:rPr>
        <w:t xml:space="preserve"> </w:t>
      </w:r>
      <w:r w:rsidR="00934D9D" w:rsidRPr="00934D9D">
        <w:rPr>
          <w:rFonts w:ascii="Arial" w:hAnsi="Arial" w:cs="Arial"/>
          <w:noProof/>
          <w:sz w:val="24"/>
          <w:szCs w:val="24"/>
        </w:rPr>
        <w:t>(</w:t>
      </w:r>
      <w:r w:rsidR="00934D9D">
        <w:rPr>
          <w:rFonts w:ascii="Arial" w:hAnsi="Arial" w:cs="Arial"/>
          <w:noProof/>
          <w:sz w:val="24"/>
          <w:szCs w:val="24"/>
        </w:rPr>
        <w:t>E</w:t>
      </w:r>
      <w:r w:rsidR="00934D9D" w:rsidRPr="00934D9D">
        <w:rPr>
          <w:rFonts w:ascii="Arial" w:hAnsi="Arial" w:cs="Arial"/>
          <w:noProof/>
          <w:sz w:val="24"/>
          <w:szCs w:val="24"/>
        </w:rPr>
        <w:t xml:space="preserve">) </w:t>
      </w:r>
      <w:r w:rsidR="00934D9D">
        <w:rPr>
          <w:rFonts w:ascii="Arial" w:hAnsi="Arial" w:cs="Arial"/>
          <w:noProof/>
          <w:sz w:val="24"/>
          <w:szCs w:val="24"/>
        </w:rPr>
        <w:t>I</w:t>
      </w:r>
      <w:r w:rsidR="00934D9D" w:rsidRPr="00934D9D">
        <w:rPr>
          <w:rFonts w:ascii="Arial" w:hAnsi="Arial" w:cs="Arial"/>
          <w:noProof/>
          <w:sz w:val="24"/>
          <w:szCs w:val="24"/>
        </w:rPr>
        <w:t xml:space="preserve">ntracellular ROS levels </w:t>
      </w:r>
      <w:r w:rsidR="00934D9D">
        <w:rPr>
          <w:rFonts w:ascii="Arial" w:hAnsi="Arial" w:cs="Arial"/>
          <w:noProof/>
          <w:sz w:val="24"/>
          <w:szCs w:val="24"/>
        </w:rPr>
        <w:t xml:space="preserve">were measured by the </w:t>
      </w:r>
      <w:r w:rsidR="00497F99" w:rsidRPr="00497F99">
        <w:rPr>
          <w:rFonts w:ascii="Arial" w:hAnsi="Arial" w:cs="Arial"/>
          <w:noProof/>
          <w:sz w:val="24"/>
          <w:szCs w:val="24"/>
        </w:rPr>
        <w:t>probe CellROX® Green Reagent and flow cytometry.</w:t>
      </w:r>
      <w:r w:rsidR="00934D9D">
        <w:rPr>
          <w:rFonts w:ascii="Arial" w:hAnsi="Arial" w:cs="Arial"/>
          <w:noProof/>
          <w:sz w:val="24"/>
          <w:szCs w:val="24"/>
        </w:rPr>
        <w:t xml:space="preserve"> </w:t>
      </w:r>
      <w:r w:rsidR="00497F99" w:rsidRPr="00497F99">
        <w:rPr>
          <w:rFonts w:ascii="Arial" w:hAnsi="Arial" w:cs="Arial"/>
          <w:noProof/>
          <w:sz w:val="24"/>
          <w:szCs w:val="24"/>
        </w:rPr>
        <w:t xml:space="preserve">Data are represented as mean ± SEM. </w:t>
      </w:r>
      <w:r w:rsidR="004D042E" w:rsidRPr="004D042E">
        <w:rPr>
          <w:rFonts w:ascii="Arial" w:hAnsi="Arial" w:cs="Arial"/>
          <w:noProof/>
          <w:sz w:val="24"/>
          <w:szCs w:val="24"/>
        </w:rPr>
        <w:t>All experiments were replicated in triplicate independently.</w:t>
      </w:r>
      <w:r w:rsidR="004D042E">
        <w:rPr>
          <w:rFonts w:ascii="Arial" w:hAnsi="Arial" w:cs="Arial"/>
          <w:noProof/>
          <w:sz w:val="24"/>
          <w:szCs w:val="24"/>
        </w:rPr>
        <w:t xml:space="preserve"> </w:t>
      </w:r>
      <w:r w:rsidR="00497F99" w:rsidRPr="00497F99">
        <w:rPr>
          <w:rFonts w:ascii="Arial" w:hAnsi="Arial" w:cs="Arial"/>
          <w:noProof/>
          <w:sz w:val="24"/>
          <w:szCs w:val="24"/>
        </w:rPr>
        <w:t>**p &lt; 0.01, ***p &lt; 0.005. Scale bar: 20 µm</w:t>
      </w:r>
      <w:r w:rsidR="00E61A9E">
        <w:rPr>
          <w:rFonts w:ascii="Arial" w:hAnsi="Arial" w:cs="Arial"/>
          <w:noProof/>
          <w:sz w:val="24"/>
          <w:szCs w:val="24"/>
        </w:rPr>
        <w:t>.</w:t>
      </w:r>
    </w:p>
    <w:p w:rsidR="00C128D7" w:rsidRDefault="00C128D7" w:rsidP="00C128D7">
      <w:pPr>
        <w:jc w:val="both"/>
      </w:pPr>
      <w:bookmarkStart w:id="0" w:name="_GoBack"/>
      <w:bookmarkEnd w:id="0"/>
    </w:p>
    <w:p w:rsidR="006E3E12" w:rsidRDefault="006E3E12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Suppl. Fig 3</w:t>
      </w:r>
      <w:r w:rsidRPr="00675DE6">
        <w:rPr>
          <w:rFonts w:ascii="Arial" w:hAnsi="Arial" w:cs="Arial"/>
          <w:noProof/>
          <w:sz w:val="24"/>
          <w:szCs w:val="24"/>
        </w:rPr>
        <w:t>.</w:t>
      </w:r>
      <w:r w:rsidR="00497F99">
        <w:rPr>
          <w:rFonts w:ascii="Arial" w:hAnsi="Arial" w:cs="Arial"/>
          <w:noProof/>
          <w:sz w:val="24"/>
          <w:szCs w:val="24"/>
        </w:rPr>
        <w:t xml:space="preserve"> </w:t>
      </w:r>
      <w:r w:rsidR="00E30C37" w:rsidRPr="00E30C37">
        <w:rPr>
          <w:rFonts w:ascii="Arial" w:hAnsi="Arial" w:cs="Arial"/>
          <w:noProof/>
          <w:sz w:val="24"/>
          <w:szCs w:val="24"/>
        </w:rPr>
        <w:t xml:space="preserve">Azoramide protects </w:t>
      </w:r>
      <w:r w:rsidR="00E30C37">
        <w:rPr>
          <w:rFonts w:ascii="Arial" w:hAnsi="Arial" w:cs="Arial"/>
          <w:noProof/>
          <w:sz w:val="24"/>
          <w:szCs w:val="24"/>
        </w:rPr>
        <w:t>PLA2G6 mutant</w:t>
      </w:r>
      <w:r w:rsidR="00E30C37" w:rsidRPr="00E30C37">
        <w:rPr>
          <w:rFonts w:ascii="Arial" w:hAnsi="Arial" w:cs="Arial"/>
          <w:noProof/>
          <w:sz w:val="24"/>
          <w:szCs w:val="24"/>
        </w:rPr>
        <w:t xml:space="preserve"> dopaminergic neurons </w:t>
      </w:r>
      <w:r w:rsidR="00E30C37">
        <w:rPr>
          <w:rFonts w:ascii="Arial" w:hAnsi="Arial" w:cs="Arial"/>
          <w:noProof/>
          <w:sz w:val="24"/>
          <w:szCs w:val="24"/>
        </w:rPr>
        <w:t>after culture of 30 days</w:t>
      </w:r>
      <w:r w:rsidR="00497F99" w:rsidRPr="00497F99">
        <w:rPr>
          <w:rFonts w:ascii="Arial" w:hAnsi="Arial" w:cs="Arial"/>
          <w:noProof/>
          <w:sz w:val="24"/>
          <w:szCs w:val="24"/>
        </w:rPr>
        <w:t>. (A</w:t>
      </w:r>
      <w:r w:rsidR="00E30C37">
        <w:rPr>
          <w:rFonts w:ascii="Arial" w:hAnsi="Arial" w:cs="Arial"/>
          <w:noProof/>
          <w:sz w:val="24"/>
          <w:szCs w:val="24"/>
        </w:rPr>
        <w:t>-B) Immuno</w:t>
      </w:r>
      <w:r w:rsidR="00497F99" w:rsidRPr="00497F99">
        <w:rPr>
          <w:rFonts w:ascii="Arial" w:hAnsi="Arial" w:cs="Arial"/>
          <w:noProof/>
          <w:sz w:val="24"/>
          <w:szCs w:val="24"/>
        </w:rPr>
        <w:t xml:space="preserve">staining </w:t>
      </w:r>
      <w:r w:rsidR="00E30C37">
        <w:rPr>
          <w:rFonts w:ascii="Arial" w:hAnsi="Arial" w:cs="Arial"/>
          <w:noProof/>
          <w:sz w:val="24"/>
          <w:szCs w:val="24"/>
        </w:rPr>
        <w:t xml:space="preserve">shows that </w:t>
      </w:r>
      <w:r w:rsidR="008B5D92" w:rsidRPr="008B5D92">
        <w:rPr>
          <w:rFonts w:ascii="Arial" w:hAnsi="Arial" w:cs="Arial"/>
          <w:noProof/>
          <w:sz w:val="24"/>
          <w:szCs w:val="24"/>
        </w:rPr>
        <w:t xml:space="preserve">the percentage of the cells expressing TH, Nurr1, and Girk was significantly decreased in PLA2G6 mutant group compared to the control group. </w:t>
      </w:r>
      <w:r w:rsidR="00497F99" w:rsidRPr="00497F99">
        <w:rPr>
          <w:rFonts w:ascii="Arial" w:hAnsi="Arial" w:cs="Arial"/>
          <w:noProof/>
          <w:sz w:val="24"/>
          <w:szCs w:val="24"/>
        </w:rPr>
        <w:t>(</w:t>
      </w:r>
      <w:r w:rsidR="00E30C37">
        <w:rPr>
          <w:rFonts w:ascii="Arial" w:hAnsi="Arial" w:cs="Arial"/>
          <w:noProof/>
          <w:sz w:val="24"/>
          <w:szCs w:val="24"/>
        </w:rPr>
        <w:t>C</w:t>
      </w:r>
      <w:r w:rsidR="00497F99" w:rsidRPr="00497F99">
        <w:rPr>
          <w:rFonts w:ascii="Arial" w:hAnsi="Arial" w:cs="Arial"/>
          <w:noProof/>
          <w:sz w:val="24"/>
          <w:szCs w:val="24"/>
        </w:rPr>
        <w:t>) Schematic diagram of drug treatment. (</w:t>
      </w:r>
      <w:r w:rsidR="00E30C37">
        <w:rPr>
          <w:rFonts w:ascii="Arial" w:hAnsi="Arial" w:cs="Arial"/>
          <w:noProof/>
          <w:sz w:val="24"/>
          <w:szCs w:val="24"/>
        </w:rPr>
        <w:t>D</w:t>
      </w:r>
      <w:r w:rsidR="008B5D92">
        <w:rPr>
          <w:rFonts w:ascii="Arial" w:hAnsi="Arial" w:cs="Arial"/>
          <w:noProof/>
          <w:sz w:val="24"/>
          <w:szCs w:val="24"/>
        </w:rPr>
        <w:t>-E</w:t>
      </w:r>
      <w:r w:rsidR="00497F99" w:rsidRPr="00497F99">
        <w:rPr>
          <w:rFonts w:ascii="Arial" w:hAnsi="Arial" w:cs="Arial"/>
          <w:noProof/>
          <w:sz w:val="24"/>
          <w:szCs w:val="24"/>
        </w:rPr>
        <w:t xml:space="preserve">) </w:t>
      </w:r>
      <w:r w:rsidR="008B5D92" w:rsidRPr="008B5D92">
        <w:rPr>
          <w:rFonts w:ascii="Arial" w:hAnsi="Arial" w:cs="Arial"/>
          <w:noProof/>
          <w:sz w:val="24"/>
          <w:szCs w:val="24"/>
        </w:rPr>
        <w:t xml:space="preserve">Western blotting demonstrated that </w:t>
      </w:r>
      <w:r w:rsidR="008B5D92">
        <w:rPr>
          <w:rFonts w:ascii="Arial" w:hAnsi="Arial" w:cs="Arial"/>
          <w:noProof/>
          <w:sz w:val="24"/>
          <w:szCs w:val="24"/>
        </w:rPr>
        <w:t>a</w:t>
      </w:r>
      <w:r w:rsidR="008B5D92" w:rsidRPr="008B5D92">
        <w:rPr>
          <w:rFonts w:ascii="Arial" w:hAnsi="Arial" w:cs="Arial"/>
          <w:noProof/>
          <w:sz w:val="24"/>
          <w:szCs w:val="24"/>
        </w:rPr>
        <w:t>zoramide significantly decreased the cleaved level of caspase 3 and the ratio of Bax/Bcl2 and enhanced the expression of CREB</w:t>
      </w:r>
      <w:r w:rsidR="008B5D92" w:rsidRPr="008B5D92">
        <w:t xml:space="preserve"> </w:t>
      </w:r>
      <w:r w:rsidR="008B5D92" w:rsidRPr="008B5D92">
        <w:rPr>
          <w:rFonts w:ascii="Arial" w:hAnsi="Arial" w:cs="Arial"/>
          <w:noProof/>
          <w:sz w:val="24"/>
          <w:szCs w:val="24"/>
        </w:rPr>
        <w:t xml:space="preserve">in PLA2G6 mutant neurons. Meanwhile, </w:t>
      </w:r>
      <w:r w:rsidR="008B5D92">
        <w:rPr>
          <w:rFonts w:ascii="Arial" w:hAnsi="Arial" w:cs="Arial"/>
          <w:noProof/>
          <w:sz w:val="24"/>
          <w:szCs w:val="24"/>
        </w:rPr>
        <w:t>a</w:t>
      </w:r>
      <w:r w:rsidR="008B5D92" w:rsidRPr="008B5D92">
        <w:rPr>
          <w:rFonts w:ascii="Arial" w:hAnsi="Arial" w:cs="Arial"/>
          <w:noProof/>
          <w:sz w:val="24"/>
          <w:szCs w:val="24"/>
        </w:rPr>
        <w:t xml:space="preserve">zoramide significantly suppressed </w:t>
      </w:r>
      <w:r w:rsidR="008B5D92">
        <w:rPr>
          <w:rFonts w:ascii="Arial" w:hAnsi="Arial" w:cs="Arial"/>
          <w:noProof/>
          <w:sz w:val="24"/>
          <w:szCs w:val="24"/>
        </w:rPr>
        <w:t xml:space="preserve">the </w:t>
      </w:r>
      <w:r w:rsidR="008B5D92" w:rsidRPr="008B5D92">
        <w:rPr>
          <w:rFonts w:ascii="Arial" w:hAnsi="Arial" w:cs="Arial"/>
          <w:noProof/>
          <w:sz w:val="24"/>
          <w:szCs w:val="24"/>
        </w:rPr>
        <w:t xml:space="preserve">expression of UPR proteins, elevated the expression level of mfn1, and inhibited the expression levels of DRP1 and Fis1 in PLA2G6 mutant neurons. </w:t>
      </w:r>
      <w:r w:rsidR="00497F99" w:rsidRPr="00497F99">
        <w:rPr>
          <w:rFonts w:ascii="Arial" w:hAnsi="Arial" w:cs="Arial"/>
          <w:noProof/>
          <w:sz w:val="24"/>
          <w:szCs w:val="24"/>
        </w:rPr>
        <w:t>Data are represented as mean ± SEM.</w:t>
      </w:r>
      <w:r w:rsidR="00E30C37" w:rsidRPr="00E30C37">
        <w:rPr>
          <w:rFonts w:ascii="Arial" w:hAnsi="Arial" w:cs="Arial"/>
          <w:noProof/>
          <w:sz w:val="24"/>
          <w:szCs w:val="24"/>
        </w:rPr>
        <w:t xml:space="preserve"> </w:t>
      </w:r>
      <w:r w:rsidR="00E30C37" w:rsidRPr="004D042E">
        <w:rPr>
          <w:rFonts w:ascii="Arial" w:hAnsi="Arial" w:cs="Arial"/>
          <w:noProof/>
          <w:sz w:val="24"/>
          <w:szCs w:val="24"/>
        </w:rPr>
        <w:t>All experiments were replicated in triplicate independently.</w:t>
      </w:r>
      <w:r w:rsidR="00E30C37">
        <w:rPr>
          <w:rFonts w:ascii="Arial" w:hAnsi="Arial" w:cs="Arial"/>
          <w:noProof/>
          <w:sz w:val="24"/>
          <w:szCs w:val="24"/>
        </w:rPr>
        <w:t xml:space="preserve"> </w:t>
      </w:r>
      <w:r w:rsidR="00497F99" w:rsidRPr="00497F99">
        <w:rPr>
          <w:rFonts w:ascii="Arial" w:hAnsi="Arial" w:cs="Arial"/>
          <w:noProof/>
          <w:sz w:val="24"/>
          <w:szCs w:val="24"/>
        </w:rPr>
        <w:t xml:space="preserve"> **p &lt; 0.01, ***p &lt; 0.005. Scale bar: 20 µm.</w:t>
      </w:r>
    </w:p>
    <w:p w:rsidR="00E61A9E" w:rsidRDefault="00E61A9E"/>
    <w:sectPr w:rsidR="00E61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BDA" w:rsidRDefault="008B2BDA" w:rsidP="006E3E12">
      <w:pPr>
        <w:spacing w:after="0" w:line="240" w:lineRule="auto"/>
      </w:pPr>
      <w:r>
        <w:separator/>
      </w:r>
    </w:p>
  </w:endnote>
  <w:endnote w:type="continuationSeparator" w:id="0">
    <w:p w:rsidR="008B2BDA" w:rsidRDefault="008B2BDA" w:rsidP="006E3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BDA" w:rsidRDefault="008B2BDA" w:rsidP="006E3E12">
      <w:pPr>
        <w:spacing w:after="0" w:line="240" w:lineRule="auto"/>
      </w:pPr>
      <w:r>
        <w:separator/>
      </w:r>
    </w:p>
  </w:footnote>
  <w:footnote w:type="continuationSeparator" w:id="0">
    <w:p w:rsidR="008B2BDA" w:rsidRDefault="008B2BDA" w:rsidP="006E3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E6"/>
    <w:rsid w:val="002016CA"/>
    <w:rsid w:val="00350EEF"/>
    <w:rsid w:val="0037425D"/>
    <w:rsid w:val="00497F99"/>
    <w:rsid w:val="004D042E"/>
    <w:rsid w:val="00630320"/>
    <w:rsid w:val="00675DE6"/>
    <w:rsid w:val="006E3E12"/>
    <w:rsid w:val="00735C53"/>
    <w:rsid w:val="008B2BDA"/>
    <w:rsid w:val="008B5D92"/>
    <w:rsid w:val="008C09E8"/>
    <w:rsid w:val="00934D9D"/>
    <w:rsid w:val="009C1C46"/>
    <w:rsid w:val="00C128D7"/>
    <w:rsid w:val="00C313CE"/>
    <w:rsid w:val="00CF270F"/>
    <w:rsid w:val="00E30C37"/>
    <w:rsid w:val="00E6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0445C"/>
  <w15:chartTrackingRefBased/>
  <w15:docId w15:val="{85E3BEAC-251F-4D3F-AB26-E3BA56AC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3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E12"/>
  </w:style>
  <w:style w:type="paragraph" w:styleId="Footer">
    <w:name w:val="footer"/>
    <w:basedOn w:val="Normal"/>
    <w:link w:val="FooterChar"/>
    <w:uiPriority w:val="99"/>
    <w:unhideWhenUsed/>
    <w:rsid w:val="006E3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qin_dajiang@gibh.ac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uanxingsu@um.edu.m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huanxingsu</dc:creator>
  <cp:keywords/>
  <dc:description/>
  <cp:lastModifiedBy>huanxingsu</cp:lastModifiedBy>
  <cp:revision>2</cp:revision>
  <dcterms:created xsi:type="dcterms:W3CDTF">2019-12-01T14:24:00Z</dcterms:created>
  <dcterms:modified xsi:type="dcterms:W3CDTF">2019-12-01T14:24:00Z</dcterms:modified>
</cp:coreProperties>
</file>