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30" w:rsidRDefault="00A65E30" w:rsidP="00A65E30">
      <w:pPr>
        <w:tabs>
          <w:tab w:val="left" w:pos="720"/>
        </w:tabs>
        <w:autoSpaceDE w:val="0"/>
        <w:spacing w:line="480" w:lineRule="auto"/>
        <w:outlineLvl w:val="0"/>
        <w:rPr>
          <w:rFonts w:eastAsia="Dotum" w:cs="Calibri"/>
          <w:b/>
          <w:iCs/>
          <w:color w:val="000000"/>
          <w:sz w:val="24"/>
        </w:rPr>
      </w:pPr>
    </w:p>
    <w:p w:rsidR="00A65E30" w:rsidRDefault="00A65E30" w:rsidP="00A65E30">
      <w:pPr>
        <w:tabs>
          <w:tab w:val="left" w:pos="720"/>
        </w:tabs>
        <w:autoSpaceDE w:val="0"/>
        <w:spacing w:line="480" w:lineRule="auto"/>
        <w:outlineLvl w:val="0"/>
        <w:rPr>
          <w:rFonts w:eastAsia="Dotum" w:cs="Calibri"/>
          <w:b/>
          <w:iCs/>
          <w:color w:val="000000"/>
          <w:sz w:val="24"/>
        </w:rPr>
      </w:pPr>
      <w:r>
        <w:rPr>
          <w:rFonts w:eastAsia="Dotum" w:cs="Calibri"/>
          <w:b/>
          <w:color w:val="000000"/>
          <w:sz w:val="24"/>
        </w:rPr>
        <w:t>Fig</w:t>
      </w:r>
      <w:r>
        <w:rPr>
          <w:rFonts w:cs="Calibri"/>
          <w:b/>
          <w:color w:val="000000"/>
          <w:sz w:val="24"/>
        </w:rPr>
        <w:t>ure S1</w:t>
      </w:r>
      <w:r>
        <w:rPr>
          <w:rFonts w:eastAsia="Dotum" w:cs="Calibri"/>
          <w:b/>
          <w:color w:val="000000"/>
          <w:sz w:val="24"/>
        </w:rPr>
        <w:t>.</w:t>
      </w:r>
      <w:r>
        <w:rPr>
          <w:rFonts w:eastAsia="Dotum" w:cs="Calibri"/>
          <w:b/>
          <w:iCs/>
          <w:color w:val="000000"/>
          <w:sz w:val="24"/>
        </w:rPr>
        <w:t xml:space="preserve"> B cells do not affect other subsets of T cell differentiation</w:t>
      </w:r>
      <w:r>
        <w:rPr>
          <w:rFonts w:cs="Calibri"/>
          <w:b/>
          <w:color w:val="000000"/>
          <w:sz w:val="24"/>
        </w:rPr>
        <w:t xml:space="preserve">. </w:t>
      </w:r>
      <w:r>
        <w:rPr>
          <w:rFonts w:eastAsia="Dotum" w:cs="Calibri"/>
          <w:color w:val="000000"/>
          <w:sz w:val="24"/>
        </w:rPr>
        <w:t xml:space="preserve">Naïve B cells isolated from B6 mice were cultured in the presence of </w:t>
      </w:r>
      <w:r>
        <w:rPr>
          <w:rFonts w:cs="Calibri"/>
          <w:bCs/>
          <w:color w:val="000000"/>
          <w:sz w:val="24"/>
        </w:rPr>
        <w:t>α-</w:t>
      </w:r>
      <w:proofErr w:type="spellStart"/>
      <w:r>
        <w:rPr>
          <w:rFonts w:cs="Calibri"/>
          <w:bCs/>
          <w:color w:val="000000"/>
          <w:sz w:val="24"/>
        </w:rPr>
        <w:t>IgM</w:t>
      </w:r>
      <w:proofErr w:type="spellEnd"/>
      <w:r>
        <w:rPr>
          <w:rFonts w:cs="Calibri"/>
          <w:bCs/>
          <w:color w:val="000000"/>
          <w:sz w:val="24"/>
        </w:rPr>
        <w:t xml:space="preserve"> and α-CD40 for 2 days, </w:t>
      </w:r>
      <w:proofErr w:type="gramStart"/>
      <w:r>
        <w:rPr>
          <w:rFonts w:cs="Calibri"/>
          <w:bCs/>
          <w:color w:val="000000"/>
          <w:sz w:val="24"/>
        </w:rPr>
        <w:t>then</w:t>
      </w:r>
      <w:proofErr w:type="gramEnd"/>
      <w:r>
        <w:rPr>
          <w:rFonts w:cs="Calibri"/>
          <w:bCs/>
          <w:color w:val="000000"/>
          <w:sz w:val="24"/>
        </w:rPr>
        <w:t xml:space="preserve"> co-cultured with sorted naïve T cells in Th1 cell culture condition</w:t>
      </w:r>
      <w:r>
        <w:rPr>
          <w:rFonts w:eastAsia="Dotum" w:cs="Calibri"/>
          <w:color w:val="000000"/>
          <w:sz w:val="24"/>
        </w:rPr>
        <w:t xml:space="preserve"> for 5 days. </w:t>
      </w:r>
      <w:r>
        <w:rPr>
          <w:rFonts w:cs="Calibri"/>
          <w:b/>
          <w:color w:val="000000"/>
          <w:sz w:val="24"/>
        </w:rPr>
        <w:t xml:space="preserve">(A) </w:t>
      </w:r>
      <w:r>
        <w:rPr>
          <w:rFonts w:cs="Calibri"/>
          <w:color w:val="000000"/>
          <w:sz w:val="24"/>
        </w:rPr>
        <w:t>CD4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>IFN-γ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 xml:space="preserve"> cells were analyzed by flow </w:t>
      </w:r>
      <w:proofErr w:type="spellStart"/>
      <w:r>
        <w:rPr>
          <w:rFonts w:cs="Calibri"/>
          <w:color w:val="000000"/>
          <w:sz w:val="24"/>
        </w:rPr>
        <w:t>cytometry</w:t>
      </w:r>
      <w:proofErr w:type="spellEnd"/>
      <w:r>
        <w:rPr>
          <w:rFonts w:cs="Calibri"/>
          <w:color w:val="000000"/>
          <w:sz w:val="24"/>
        </w:rPr>
        <w:t xml:space="preserve"> (left). The results for flow </w:t>
      </w:r>
      <w:proofErr w:type="spellStart"/>
      <w:r>
        <w:rPr>
          <w:rFonts w:cs="Calibri"/>
          <w:color w:val="000000"/>
          <w:sz w:val="24"/>
        </w:rPr>
        <w:t>cytometry</w:t>
      </w:r>
      <w:proofErr w:type="spellEnd"/>
      <w:r>
        <w:rPr>
          <w:rFonts w:cs="Calibri"/>
          <w:color w:val="000000"/>
          <w:sz w:val="24"/>
        </w:rPr>
        <w:t xml:space="preserve"> of CD4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>IFN-γ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 xml:space="preserve"> cells (right). </w:t>
      </w:r>
      <w:r>
        <w:rPr>
          <w:rFonts w:cs="Calibri"/>
          <w:b/>
          <w:color w:val="000000"/>
          <w:sz w:val="24"/>
        </w:rPr>
        <w:t>(B)</w:t>
      </w:r>
      <w:r>
        <w:rPr>
          <w:rFonts w:cs="Calibri"/>
          <w:color w:val="000000"/>
          <w:sz w:val="24"/>
        </w:rPr>
        <w:t xml:space="preserve"> CD4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bCs/>
          <w:color w:val="000000"/>
          <w:sz w:val="24"/>
        </w:rPr>
        <w:t>T-bet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 xml:space="preserve"> cells were analyzed by flow </w:t>
      </w:r>
      <w:proofErr w:type="spellStart"/>
      <w:r>
        <w:rPr>
          <w:rFonts w:cs="Calibri"/>
          <w:color w:val="000000"/>
          <w:sz w:val="24"/>
        </w:rPr>
        <w:t>cytometry</w:t>
      </w:r>
      <w:proofErr w:type="spellEnd"/>
      <w:r>
        <w:rPr>
          <w:rFonts w:cs="Calibri"/>
          <w:color w:val="000000"/>
          <w:sz w:val="24"/>
        </w:rPr>
        <w:t xml:space="preserve"> (left). </w:t>
      </w:r>
      <w:proofErr w:type="gramStart"/>
      <w:r>
        <w:rPr>
          <w:rFonts w:cs="Calibri"/>
          <w:color w:val="000000"/>
          <w:sz w:val="24"/>
        </w:rPr>
        <w:t xml:space="preserve">The results for flow </w:t>
      </w:r>
      <w:proofErr w:type="spellStart"/>
      <w:r>
        <w:rPr>
          <w:rFonts w:cs="Calibri"/>
          <w:color w:val="000000"/>
          <w:sz w:val="24"/>
        </w:rPr>
        <w:t>cytometry</w:t>
      </w:r>
      <w:proofErr w:type="spellEnd"/>
      <w:r>
        <w:rPr>
          <w:rFonts w:cs="Calibri"/>
          <w:color w:val="000000"/>
          <w:sz w:val="24"/>
        </w:rPr>
        <w:t xml:space="preserve"> of CD4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bCs/>
          <w:color w:val="000000"/>
          <w:sz w:val="24"/>
        </w:rPr>
        <w:t>T-bet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 xml:space="preserve"> cells (right).</w:t>
      </w:r>
      <w:proofErr w:type="gramEnd"/>
      <w:r>
        <w:rPr>
          <w:rFonts w:eastAsia="Dotum" w:cs="Calibri"/>
          <w:color w:val="000000"/>
          <w:sz w:val="24"/>
        </w:rPr>
        <w:t xml:space="preserve"> </w:t>
      </w:r>
      <w:r>
        <w:rPr>
          <w:rFonts w:cs="Calibri"/>
          <w:b/>
          <w:color w:val="000000"/>
          <w:sz w:val="24"/>
        </w:rPr>
        <w:t>(C)</w:t>
      </w:r>
      <w:r>
        <w:rPr>
          <w:rFonts w:cs="Calibri"/>
          <w:color w:val="000000"/>
          <w:sz w:val="24"/>
        </w:rPr>
        <w:t xml:space="preserve"> </w:t>
      </w:r>
      <w:r>
        <w:rPr>
          <w:rFonts w:eastAsia="Dotum" w:cs="Calibri"/>
          <w:color w:val="000000"/>
          <w:sz w:val="24"/>
        </w:rPr>
        <w:t xml:space="preserve">Naïve B cells isolated from B6 mice were cultured in the presence of </w:t>
      </w:r>
      <w:r>
        <w:rPr>
          <w:rFonts w:cs="Calibri"/>
          <w:bCs/>
          <w:color w:val="000000"/>
          <w:sz w:val="24"/>
        </w:rPr>
        <w:t>α-</w:t>
      </w:r>
      <w:proofErr w:type="spellStart"/>
      <w:r>
        <w:rPr>
          <w:rFonts w:cs="Calibri"/>
          <w:bCs/>
          <w:color w:val="000000"/>
          <w:sz w:val="24"/>
        </w:rPr>
        <w:t>IgM</w:t>
      </w:r>
      <w:proofErr w:type="spellEnd"/>
      <w:r>
        <w:rPr>
          <w:rFonts w:cs="Calibri"/>
          <w:bCs/>
          <w:color w:val="000000"/>
          <w:sz w:val="24"/>
        </w:rPr>
        <w:t xml:space="preserve"> and α-CD40 for 2 days, and then co-cultured with sorted naïve T cells in </w:t>
      </w:r>
      <w:proofErr w:type="spellStart"/>
      <w:r>
        <w:rPr>
          <w:rFonts w:cs="Calibri"/>
          <w:bCs/>
          <w:color w:val="000000"/>
          <w:sz w:val="24"/>
        </w:rPr>
        <w:t>Treg</w:t>
      </w:r>
      <w:proofErr w:type="spellEnd"/>
      <w:r>
        <w:rPr>
          <w:rFonts w:cs="Calibri"/>
          <w:bCs/>
          <w:color w:val="000000"/>
          <w:sz w:val="24"/>
        </w:rPr>
        <w:t xml:space="preserve"> cell culture condition</w:t>
      </w:r>
      <w:r>
        <w:rPr>
          <w:rFonts w:eastAsia="Dotum" w:cs="Calibri"/>
          <w:color w:val="000000"/>
          <w:sz w:val="24"/>
        </w:rPr>
        <w:t xml:space="preserve"> for 5 days. </w:t>
      </w:r>
      <w:r>
        <w:rPr>
          <w:rFonts w:cs="Calibri"/>
          <w:color w:val="000000"/>
          <w:sz w:val="24"/>
        </w:rPr>
        <w:t xml:space="preserve">IL-10 and TGF-β intracellular expression was analyzed by flow </w:t>
      </w:r>
      <w:proofErr w:type="spellStart"/>
      <w:r>
        <w:rPr>
          <w:rFonts w:cs="Calibri"/>
          <w:color w:val="000000"/>
          <w:sz w:val="24"/>
        </w:rPr>
        <w:t>cytometry</w:t>
      </w:r>
      <w:proofErr w:type="spellEnd"/>
      <w:r>
        <w:rPr>
          <w:rFonts w:cs="Calibri"/>
          <w:color w:val="000000"/>
          <w:sz w:val="24"/>
        </w:rPr>
        <w:t xml:space="preserve"> (left). The results for flow </w:t>
      </w:r>
      <w:proofErr w:type="spellStart"/>
      <w:r>
        <w:rPr>
          <w:rFonts w:cs="Calibri"/>
          <w:color w:val="000000"/>
          <w:sz w:val="24"/>
        </w:rPr>
        <w:t>cytometry</w:t>
      </w:r>
      <w:proofErr w:type="spellEnd"/>
      <w:r>
        <w:rPr>
          <w:rFonts w:cs="Calibri"/>
          <w:color w:val="000000"/>
          <w:sz w:val="24"/>
        </w:rPr>
        <w:t xml:space="preserve"> of IL-10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>TGF-β</w:t>
      </w:r>
      <w:r>
        <w:rPr>
          <w:rFonts w:cs="Calibri"/>
          <w:color w:val="000000"/>
          <w:sz w:val="24"/>
          <w:vertAlign w:val="superscript"/>
        </w:rPr>
        <w:t>+</w:t>
      </w:r>
      <w:r>
        <w:rPr>
          <w:rFonts w:cs="Calibri"/>
          <w:color w:val="000000"/>
          <w:sz w:val="24"/>
        </w:rPr>
        <w:t xml:space="preserve"> cells (right). Results shown</w:t>
      </w:r>
      <w:r>
        <w:rPr>
          <w:rFonts w:eastAsia="Dotum" w:cs="Calibri"/>
          <w:color w:val="000000"/>
          <w:sz w:val="24"/>
        </w:rPr>
        <w:t xml:space="preserve"> are </w:t>
      </w:r>
      <w:r>
        <w:rPr>
          <w:rFonts w:cs="Calibri"/>
          <w:color w:val="000000"/>
          <w:sz w:val="24"/>
        </w:rPr>
        <w:t xml:space="preserve">representative of </w:t>
      </w:r>
      <w:r>
        <w:rPr>
          <w:rFonts w:eastAsia="Dotum" w:cs="Calibri"/>
          <w:color w:val="000000"/>
          <w:sz w:val="24"/>
        </w:rPr>
        <w:t>three independent experiments.</w:t>
      </w:r>
    </w:p>
    <w:p w:rsidR="00A65E30" w:rsidRDefault="00A65E30" w:rsidP="00A65E30">
      <w:pPr>
        <w:tabs>
          <w:tab w:val="left" w:pos="720"/>
        </w:tabs>
        <w:autoSpaceDE w:val="0"/>
        <w:spacing w:line="480" w:lineRule="auto"/>
        <w:outlineLvl w:val="0"/>
        <w:rPr>
          <w:rFonts w:eastAsia="Dotum" w:cs="Calibri"/>
          <w:color w:val="000000"/>
          <w:sz w:val="24"/>
        </w:rPr>
      </w:pPr>
      <w:r>
        <w:rPr>
          <w:rFonts w:eastAsia="Dotum" w:cs="Calibri"/>
          <w:b/>
          <w:iCs/>
          <w:color w:val="000000"/>
          <w:sz w:val="24"/>
        </w:rPr>
        <w:t xml:space="preserve">Figure S2. </w:t>
      </w:r>
      <w:proofErr w:type="gramStart"/>
      <w:r>
        <w:rPr>
          <w:rFonts w:eastAsia="Dotum" w:cs="Calibri"/>
          <w:b/>
          <w:iCs/>
          <w:color w:val="000000"/>
          <w:sz w:val="24"/>
        </w:rPr>
        <w:t>C</w:t>
      </w:r>
      <w:r>
        <w:rPr>
          <w:rFonts w:cs="Calibri"/>
          <w:b/>
          <w:iCs/>
          <w:color w:val="000000"/>
          <w:sz w:val="24"/>
        </w:rPr>
        <w:t>ytokine production in activated B cells.</w:t>
      </w:r>
      <w:proofErr w:type="gramEnd"/>
      <w:r>
        <w:rPr>
          <w:rFonts w:eastAsia="Dotum" w:cs="Calibri"/>
          <w:color w:val="000000"/>
          <w:sz w:val="24"/>
        </w:rPr>
        <w:t xml:space="preserve"> Naïve B cells isolated from B6 mice were cultured in the presence of </w:t>
      </w:r>
      <w:r>
        <w:rPr>
          <w:rFonts w:cs="Calibri"/>
          <w:bCs/>
          <w:color w:val="000000"/>
          <w:sz w:val="24"/>
        </w:rPr>
        <w:t>α-</w:t>
      </w:r>
      <w:proofErr w:type="spellStart"/>
      <w:r>
        <w:rPr>
          <w:rFonts w:cs="Calibri"/>
          <w:bCs/>
          <w:color w:val="000000"/>
          <w:sz w:val="24"/>
        </w:rPr>
        <w:t>IgM</w:t>
      </w:r>
      <w:proofErr w:type="spellEnd"/>
      <w:r>
        <w:rPr>
          <w:rFonts w:cs="Calibri"/>
          <w:bCs/>
          <w:color w:val="000000"/>
          <w:sz w:val="24"/>
        </w:rPr>
        <w:t xml:space="preserve"> and α-CD40 for 2 days</w:t>
      </w:r>
      <w:r>
        <w:rPr>
          <w:rFonts w:eastAsia="Dotum" w:cs="Calibri"/>
          <w:color w:val="000000"/>
          <w:sz w:val="24"/>
        </w:rPr>
        <w:t xml:space="preserve">. </w:t>
      </w:r>
      <w:r>
        <w:rPr>
          <w:rFonts w:cs="Calibri"/>
          <w:b/>
          <w:color w:val="000000"/>
          <w:sz w:val="24"/>
        </w:rPr>
        <w:t xml:space="preserve">(A) </w:t>
      </w:r>
      <w:r>
        <w:rPr>
          <w:rFonts w:cs="Calibri"/>
          <w:color w:val="000000"/>
          <w:sz w:val="24"/>
        </w:rPr>
        <w:t xml:space="preserve">TNF-α, IFN-γ, IL-10, TGF-β, IL-4, and IL-6 intracellular expression in CD19 cells were analyzed by flow </w:t>
      </w:r>
      <w:proofErr w:type="spellStart"/>
      <w:r>
        <w:rPr>
          <w:rFonts w:cs="Calibri"/>
          <w:color w:val="000000"/>
          <w:sz w:val="24"/>
        </w:rPr>
        <w:t>cytometry</w:t>
      </w:r>
      <w:proofErr w:type="spellEnd"/>
      <w:r>
        <w:rPr>
          <w:rFonts w:cs="Calibri"/>
          <w:color w:val="000000"/>
          <w:sz w:val="24"/>
        </w:rPr>
        <w:t>.</w:t>
      </w:r>
      <w:r>
        <w:rPr>
          <w:rFonts w:cs="Calibri"/>
          <w:b/>
          <w:color w:val="000000"/>
          <w:sz w:val="24"/>
        </w:rPr>
        <w:t xml:space="preserve"> (B) </w:t>
      </w:r>
      <w:r>
        <w:rPr>
          <w:rFonts w:cs="Calibri"/>
          <w:color w:val="000000"/>
          <w:sz w:val="24"/>
        </w:rPr>
        <w:t>TNF-α, IFN-γ, IL-10, TGF-β, IL-4, and IL-6 in supernatants were analyzed by ELISA.</w:t>
      </w:r>
      <w:r>
        <w:rPr>
          <w:rFonts w:cs="Calibri"/>
          <w:b/>
          <w:color w:val="000000"/>
          <w:sz w:val="24"/>
        </w:rPr>
        <w:t xml:space="preserve"> (C) </w:t>
      </w:r>
      <w:proofErr w:type="spellStart"/>
      <w:r>
        <w:rPr>
          <w:rFonts w:cs="Calibri"/>
          <w:color w:val="000000"/>
          <w:sz w:val="24"/>
        </w:rPr>
        <w:t>IgM</w:t>
      </w:r>
      <w:proofErr w:type="spellEnd"/>
      <w:r>
        <w:rPr>
          <w:rFonts w:cs="Calibri"/>
          <w:color w:val="000000"/>
          <w:sz w:val="24"/>
        </w:rPr>
        <w:t xml:space="preserve">, </w:t>
      </w:r>
      <w:proofErr w:type="spellStart"/>
      <w:r>
        <w:rPr>
          <w:rFonts w:cs="Calibri"/>
          <w:color w:val="000000"/>
          <w:sz w:val="24"/>
        </w:rPr>
        <w:t>IgG</w:t>
      </w:r>
      <w:proofErr w:type="spellEnd"/>
      <w:r>
        <w:rPr>
          <w:rFonts w:cs="Calibri"/>
          <w:color w:val="000000"/>
          <w:sz w:val="24"/>
        </w:rPr>
        <w:t>, and IgA in supernatants were analyzed by ELISA. Results shown</w:t>
      </w:r>
      <w:r>
        <w:rPr>
          <w:rFonts w:eastAsia="Dotum" w:cs="Calibri"/>
          <w:color w:val="000000"/>
          <w:sz w:val="24"/>
        </w:rPr>
        <w:t xml:space="preserve"> are </w:t>
      </w:r>
      <w:r>
        <w:rPr>
          <w:rFonts w:cs="Calibri"/>
          <w:color w:val="000000"/>
          <w:sz w:val="24"/>
        </w:rPr>
        <w:t xml:space="preserve">representative of </w:t>
      </w:r>
      <w:r>
        <w:rPr>
          <w:rFonts w:eastAsia="Dotum" w:cs="Calibri"/>
          <w:color w:val="000000"/>
          <w:sz w:val="24"/>
        </w:rPr>
        <w:t xml:space="preserve">three independent experiments. </w:t>
      </w:r>
      <w:proofErr w:type="gramStart"/>
      <w:r>
        <w:rPr>
          <w:rFonts w:eastAsia="Dotum" w:cs="Calibri"/>
          <w:color w:val="000000"/>
          <w:sz w:val="24"/>
        </w:rPr>
        <w:t xml:space="preserve">*, </w:t>
      </w:r>
      <w:r>
        <w:rPr>
          <w:rFonts w:eastAsia="Dotum" w:cs="Calibri"/>
          <w:i/>
          <w:iCs/>
          <w:color w:val="000000"/>
          <w:sz w:val="24"/>
        </w:rPr>
        <w:t>p</w:t>
      </w:r>
      <w:r>
        <w:rPr>
          <w:rFonts w:eastAsia="Dotum" w:cs="Calibri"/>
          <w:color w:val="000000"/>
          <w:sz w:val="24"/>
        </w:rPr>
        <w:t xml:space="preserve"> &lt; 0.05;**, </w:t>
      </w:r>
      <w:r>
        <w:rPr>
          <w:rFonts w:eastAsia="Dotum" w:cs="Calibri"/>
          <w:i/>
          <w:iCs/>
          <w:color w:val="000000"/>
          <w:sz w:val="24"/>
        </w:rPr>
        <w:t>p</w:t>
      </w:r>
      <w:r>
        <w:rPr>
          <w:rFonts w:eastAsia="Dotum" w:cs="Calibri"/>
          <w:color w:val="000000"/>
          <w:sz w:val="24"/>
        </w:rPr>
        <w:t xml:space="preserve"> &lt; 0.01; ***, </w:t>
      </w:r>
      <w:r>
        <w:rPr>
          <w:rFonts w:eastAsia="Dotum" w:cs="Calibri"/>
          <w:i/>
          <w:iCs/>
          <w:color w:val="000000"/>
          <w:sz w:val="24"/>
        </w:rPr>
        <w:t>p</w:t>
      </w:r>
      <w:r>
        <w:rPr>
          <w:rFonts w:eastAsia="Dotum" w:cs="Calibri"/>
          <w:color w:val="000000"/>
          <w:sz w:val="24"/>
        </w:rPr>
        <w:t xml:space="preserve"> &lt; 0.001.</w:t>
      </w:r>
      <w:proofErr w:type="gramEnd"/>
    </w:p>
    <w:p w:rsidR="00A65E30" w:rsidRDefault="00A65E30" w:rsidP="00A65E30">
      <w:pPr>
        <w:spacing w:line="480" w:lineRule="auto"/>
        <w:rPr>
          <w:rFonts w:eastAsia="SimSun" w:cs="Calibri"/>
          <w:color w:val="000000"/>
          <w:sz w:val="21"/>
        </w:rPr>
      </w:pPr>
      <w:r>
        <w:rPr>
          <w:rFonts w:eastAsia="Dotum" w:cs="Calibri"/>
          <w:b/>
          <w:iCs/>
          <w:color w:val="000000"/>
          <w:sz w:val="24"/>
        </w:rPr>
        <w:t xml:space="preserve">Figure S3. </w:t>
      </w:r>
      <w:proofErr w:type="gramStart"/>
      <w:r>
        <w:rPr>
          <w:rFonts w:eastAsia="Dotum" w:cs="Calibri"/>
          <w:b/>
          <w:iCs/>
          <w:color w:val="000000"/>
          <w:sz w:val="24"/>
        </w:rPr>
        <w:t xml:space="preserve">Expression of the </w:t>
      </w:r>
      <w:proofErr w:type="spellStart"/>
      <w:r>
        <w:rPr>
          <w:rFonts w:eastAsia="Dotum" w:cs="Calibri"/>
          <w:b/>
          <w:iCs/>
          <w:color w:val="000000"/>
          <w:sz w:val="24"/>
        </w:rPr>
        <w:t>mTOR</w:t>
      </w:r>
      <w:proofErr w:type="spellEnd"/>
      <w:r>
        <w:rPr>
          <w:rFonts w:eastAsia="Dotum" w:cs="Calibri"/>
          <w:b/>
          <w:iCs/>
          <w:color w:val="000000"/>
          <w:sz w:val="24"/>
        </w:rPr>
        <w:t xml:space="preserve"> activator LAMTOR5 in human Th17 cells.</w:t>
      </w:r>
      <w:proofErr w:type="gramEnd"/>
      <w:r>
        <w:rPr>
          <w:rFonts w:eastAsia="Dotum" w:cs="Calibri"/>
          <w:b/>
          <w:iCs/>
          <w:color w:val="000000"/>
          <w:sz w:val="24"/>
        </w:rPr>
        <w:t xml:space="preserve"> </w:t>
      </w:r>
      <w:r>
        <w:rPr>
          <w:rFonts w:cs="Calibri"/>
          <w:color w:val="000000"/>
          <w:sz w:val="24"/>
        </w:rPr>
        <w:t xml:space="preserve">Gene expression data in Gene Express Omnibus, GSE89133 was explored to show that human Th17 cells treated with TNF family member TL1A, with </w:t>
      </w:r>
      <w:proofErr w:type="spellStart"/>
      <w:r>
        <w:rPr>
          <w:rFonts w:cs="Calibri"/>
          <w:color w:val="000000"/>
          <w:sz w:val="24"/>
        </w:rPr>
        <w:t>mTOR</w:t>
      </w:r>
      <w:proofErr w:type="spellEnd"/>
      <w:r>
        <w:rPr>
          <w:rFonts w:cs="Calibri"/>
          <w:color w:val="000000"/>
          <w:sz w:val="24"/>
        </w:rPr>
        <w:t xml:space="preserve"> activator LAMTOR5 detected.</w:t>
      </w:r>
    </w:p>
    <w:p w:rsidR="00A65E30" w:rsidRDefault="00A65E30" w:rsidP="00A65E30">
      <w:pPr>
        <w:spacing w:line="480" w:lineRule="auto"/>
        <w:rPr>
          <w:rFonts w:cs="Calibri"/>
          <w:color w:val="000000"/>
          <w:sz w:val="24"/>
        </w:rPr>
      </w:pPr>
    </w:p>
    <w:p w:rsidR="00F63607" w:rsidRDefault="00F63607">
      <w:bookmarkStart w:id="0" w:name="_GoBack"/>
      <w:bookmarkEnd w:id="0"/>
    </w:p>
    <w:sectPr w:rsidR="00F63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E30"/>
    <w:rsid w:val="003B7BD2"/>
    <w:rsid w:val="00A65E30"/>
    <w:rsid w:val="00F6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4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Varun Kumar</dc:creator>
  <cp:lastModifiedBy>Varun Kumar</cp:lastModifiedBy>
  <cp:revision>1</cp:revision>
  <dcterms:created xsi:type="dcterms:W3CDTF">2020-02-21T13:59:00Z</dcterms:created>
  <dcterms:modified xsi:type="dcterms:W3CDTF">2020-02-21T14:00:00Z</dcterms:modified>
</cp:coreProperties>
</file>