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0F178D" w14:textId="77777777" w:rsidR="001F3AEC" w:rsidRDefault="001F3AEC" w:rsidP="001F3AEC">
      <w:pPr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9E4EF7">
        <w:rPr>
          <w:rFonts w:ascii="Times New Roman" w:hAnsi="Times New Roman"/>
          <w:b/>
          <w:bCs/>
          <w:sz w:val="28"/>
          <w:szCs w:val="28"/>
          <w:lang w:val="en-GB"/>
        </w:rPr>
        <w:t>Supplementary Figure S1:</w:t>
      </w:r>
      <w:r w:rsidRPr="002B6FB2">
        <w:rPr>
          <w:rFonts w:ascii="Times New Roman" w:hAnsi="Times New Roman"/>
          <w:lang w:val="en-GB"/>
        </w:rPr>
        <w:t xml:space="preserve"> </w:t>
      </w:r>
      <w:r w:rsidRPr="002B6FB2">
        <w:rPr>
          <w:rFonts w:ascii="Times New Roman" w:hAnsi="Times New Roman"/>
          <w:b/>
          <w:bCs/>
          <w:lang w:val="en-GB"/>
        </w:rPr>
        <w:t>(A)</w:t>
      </w:r>
      <w:r>
        <w:rPr>
          <w:rFonts w:ascii="Times New Roman" w:hAnsi="Times New Roman"/>
          <w:lang w:val="en-GB"/>
        </w:rPr>
        <w:t xml:space="preserve"> </w:t>
      </w:r>
      <w:r w:rsidRPr="002B6FB2">
        <w:rPr>
          <w:rFonts w:ascii="Times New Roman" w:hAnsi="Times New Roman"/>
          <w:lang w:val="en-GB"/>
        </w:rPr>
        <w:t>SDS-PAGE and</w:t>
      </w:r>
      <w:r>
        <w:rPr>
          <w:rFonts w:ascii="Times New Roman" w:hAnsi="Times New Roman"/>
          <w:lang w:val="en-GB"/>
        </w:rPr>
        <w:t xml:space="preserve"> </w:t>
      </w:r>
      <w:r w:rsidRPr="002B6FB2">
        <w:rPr>
          <w:rFonts w:ascii="Times New Roman" w:hAnsi="Times New Roman"/>
          <w:lang w:val="en-GB"/>
        </w:rPr>
        <w:t>Western blot</w:t>
      </w:r>
      <w:r>
        <w:rPr>
          <w:rFonts w:ascii="Times New Roman" w:hAnsi="Times New Roman"/>
          <w:lang w:val="en-GB"/>
        </w:rPr>
        <w:t>ting</w:t>
      </w:r>
      <w:r w:rsidRPr="002B6FB2">
        <w:rPr>
          <w:rFonts w:ascii="Times New Roman" w:hAnsi="Times New Roman"/>
          <w:lang w:val="en-GB"/>
        </w:rPr>
        <w:t xml:space="preserve"> analysis of the purified </w:t>
      </w:r>
      <w:r w:rsidRPr="00975050">
        <w:rPr>
          <w:rFonts w:ascii="Times New Roman" w:hAnsi="Times New Roman"/>
          <w:lang w:val="en-GB"/>
        </w:rPr>
        <w:t>recombinant LMP2A-NCD protein</w:t>
      </w:r>
      <w:r w:rsidRPr="002B6FB2">
        <w:rPr>
          <w:rFonts w:ascii="Times New Roman" w:hAnsi="Times New Roman"/>
          <w:lang w:val="en-GB"/>
        </w:rPr>
        <w:t>.</w:t>
      </w:r>
      <w:r>
        <w:rPr>
          <w:rFonts w:ascii="Times New Roman" w:hAnsi="Times New Roman" w:hint="eastAsia"/>
          <w:lang w:val="en-GB"/>
        </w:rPr>
        <w:t xml:space="preserve"> </w:t>
      </w:r>
      <w:r w:rsidRPr="002B6FB2">
        <w:rPr>
          <w:rFonts w:ascii="Times New Roman" w:hAnsi="Times New Roman"/>
          <w:lang w:val="en-GB"/>
        </w:rPr>
        <w:t xml:space="preserve">Lane 1, </w:t>
      </w:r>
      <w:r w:rsidRPr="00975050">
        <w:rPr>
          <w:rFonts w:ascii="Times New Roman" w:hAnsi="Times New Roman"/>
          <w:lang w:val="en-GB"/>
        </w:rPr>
        <w:t>recombinant LMP2A-NCD protein</w:t>
      </w:r>
      <w:r w:rsidRPr="002B6FB2">
        <w:rPr>
          <w:rFonts w:ascii="Times New Roman" w:hAnsi="Times New Roman"/>
          <w:lang w:val="en-GB"/>
        </w:rPr>
        <w:t>; lane 2, Western blot</w:t>
      </w:r>
      <w:r>
        <w:rPr>
          <w:rFonts w:ascii="Times New Roman" w:hAnsi="Times New Roman"/>
          <w:lang w:val="en-GB"/>
        </w:rPr>
        <w:t>ting</w:t>
      </w:r>
      <w:r w:rsidRPr="002B6FB2">
        <w:rPr>
          <w:rFonts w:ascii="Times New Roman" w:hAnsi="Times New Roman"/>
          <w:lang w:val="en-GB"/>
        </w:rPr>
        <w:t xml:space="preserve"> analysis of </w:t>
      </w:r>
      <w:r w:rsidRPr="00975050">
        <w:rPr>
          <w:rFonts w:ascii="Times New Roman" w:hAnsi="Times New Roman"/>
          <w:lang w:val="en-GB"/>
        </w:rPr>
        <w:t>LMP2A-NCD</w:t>
      </w:r>
      <w:r w:rsidRPr="002B6FB2">
        <w:rPr>
          <w:rFonts w:ascii="Times New Roman" w:hAnsi="Times New Roman"/>
          <w:lang w:val="en-GB"/>
        </w:rPr>
        <w:t>;</w:t>
      </w:r>
      <w:r>
        <w:rPr>
          <w:rFonts w:ascii="Times New Roman" w:hAnsi="Times New Roman" w:hint="eastAsia"/>
          <w:lang w:val="en-GB"/>
        </w:rPr>
        <w:t xml:space="preserve"> </w:t>
      </w:r>
      <w:r w:rsidRPr="002B6FB2">
        <w:rPr>
          <w:rFonts w:ascii="Times New Roman" w:hAnsi="Times New Roman"/>
          <w:b/>
          <w:bCs/>
          <w:lang w:val="en-GB"/>
        </w:rPr>
        <w:t>(B)</w:t>
      </w:r>
      <w:r>
        <w:rPr>
          <w:rFonts w:ascii="Times New Roman" w:hAnsi="Times New Roman"/>
          <w:b/>
          <w:bCs/>
          <w:lang w:val="en-GB"/>
        </w:rPr>
        <w:t xml:space="preserve"> </w:t>
      </w:r>
      <w:r w:rsidRPr="009E4EF7">
        <w:rPr>
          <w:rFonts w:ascii="Times New Roman" w:hAnsi="Times New Roman"/>
          <w:lang w:val="en-GB"/>
        </w:rPr>
        <w:t>ELISA screening for target-binding activity of potential EBV LMP2A N-terminal domain-binding affibody molecules from 65 clones.</w:t>
      </w:r>
    </w:p>
    <w:p w14:paraId="6D0767E4" w14:textId="77777777" w:rsidR="001F3AEC" w:rsidRDefault="001F3AEC" w:rsidP="001F3AEC">
      <w:pPr>
        <w:autoSpaceDE w:val="0"/>
        <w:autoSpaceDN w:val="0"/>
        <w:adjustRightInd w:val="0"/>
        <w:jc w:val="left"/>
        <w:rPr>
          <w:rFonts w:ascii="Times New Roman" w:hAnsi="Times New Roman"/>
          <w:lang w:val="en-GB"/>
        </w:rPr>
      </w:pPr>
    </w:p>
    <w:p w14:paraId="502996B4" w14:textId="77777777" w:rsidR="001F3AEC" w:rsidRDefault="001F3AEC" w:rsidP="001F3AEC">
      <w:pPr>
        <w:autoSpaceDE w:val="0"/>
        <w:autoSpaceDN w:val="0"/>
        <w:adjustRightInd w:val="0"/>
        <w:rPr>
          <w:rFonts w:ascii="Times New Roman" w:hAnsi="Times New Roman"/>
          <w:lang w:val="en-GB"/>
        </w:rPr>
      </w:pPr>
      <w:r w:rsidRPr="009E4EF7">
        <w:rPr>
          <w:rFonts w:ascii="Times New Roman" w:hAnsi="Times New Roman"/>
          <w:b/>
          <w:bCs/>
          <w:sz w:val="28"/>
          <w:szCs w:val="28"/>
          <w:lang w:val="en-GB"/>
        </w:rPr>
        <w:t>Supplementary Figure S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>2</w:t>
      </w:r>
      <w:r w:rsidRPr="009E4EF7">
        <w:rPr>
          <w:rFonts w:ascii="Times New Roman" w:hAnsi="Times New Roman"/>
          <w:b/>
          <w:bCs/>
          <w:sz w:val="28"/>
          <w:szCs w:val="28"/>
          <w:lang w:val="en-GB"/>
        </w:rPr>
        <w:t xml:space="preserve">: </w:t>
      </w:r>
      <w:r w:rsidRPr="009E4EF7">
        <w:rPr>
          <w:rFonts w:ascii="Times New Roman" w:hAnsi="Times New Roman"/>
          <w:b/>
          <w:bCs/>
          <w:lang w:val="en-GB"/>
        </w:rPr>
        <w:t>Direct Immunofluorescence staining using anti-</w:t>
      </w:r>
      <w:r>
        <w:rPr>
          <w:rFonts w:ascii="Times New Roman" w:hAnsi="Times New Roman"/>
          <w:b/>
          <w:bCs/>
          <w:lang w:val="en-GB"/>
        </w:rPr>
        <w:t>LMP2A-NCD</w:t>
      </w:r>
      <w:r w:rsidRPr="009E4EF7">
        <w:rPr>
          <w:rFonts w:ascii="Times New Roman" w:hAnsi="Times New Roman"/>
          <w:b/>
          <w:bCs/>
          <w:lang w:val="en-GB"/>
        </w:rPr>
        <w:t xml:space="preserve"> antibody</w:t>
      </w:r>
      <w:r w:rsidRPr="009E4EF7">
        <w:rPr>
          <w:rFonts w:ascii="Times New Roman" w:hAnsi="Times New Roman"/>
          <w:lang w:val="en-GB"/>
        </w:rPr>
        <w:t>. Immunofluorescence staining of EBV</w:t>
      </w:r>
      <w:r w:rsidRPr="009E4EF7">
        <w:rPr>
          <w:rFonts w:ascii="Times New Roman" w:hAnsi="Times New Roman"/>
          <w:bCs/>
          <w:lang w:val="en-GB"/>
        </w:rPr>
        <w:t>-</w:t>
      </w:r>
      <w:r w:rsidRPr="009E4EF7">
        <w:rPr>
          <w:rFonts w:ascii="Times New Roman" w:hAnsi="Times New Roman"/>
          <w:lang w:val="en-GB"/>
        </w:rPr>
        <w:t>positive cell lines (C666-1</w:t>
      </w:r>
      <w:r w:rsidRPr="009E4EF7">
        <w:rPr>
          <w:rFonts w:ascii="Times New Roman" w:hAnsi="Times New Roman"/>
          <w:bCs/>
          <w:lang w:val="en-GB"/>
        </w:rPr>
        <w:t xml:space="preserve">, </w:t>
      </w:r>
      <w:r w:rsidRPr="009E4EF7">
        <w:rPr>
          <w:rFonts w:ascii="Times New Roman" w:hAnsi="Times New Roman"/>
          <w:lang w:val="en-GB"/>
        </w:rPr>
        <w:t>CNE-2Z and B95-8) and an EBV</w:t>
      </w:r>
      <w:r w:rsidRPr="009E4EF7">
        <w:rPr>
          <w:rFonts w:ascii="Times New Roman" w:hAnsi="Times New Roman"/>
          <w:bCs/>
          <w:lang w:val="en-GB"/>
        </w:rPr>
        <w:t>-</w:t>
      </w:r>
      <w:r w:rsidRPr="009E4EF7">
        <w:rPr>
          <w:rFonts w:ascii="Times New Roman" w:hAnsi="Times New Roman"/>
          <w:lang w:val="en-GB"/>
        </w:rPr>
        <w:t>negative cell line (A375) with anti-</w:t>
      </w:r>
      <w:r>
        <w:rPr>
          <w:rFonts w:ascii="Times New Roman" w:hAnsi="Times New Roman"/>
          <w:lang w:val="en-GB"/>
        </w:rPr>
        <w:t>LMP2A-NCD</w:t>
      </w:r>
      <w:r w:rsidRPr="009E4EF7">
        <w:rPr>
          <w:rFonts w:ascii="Times New Roman" w:hAnsi="Times New Roman"/>
          <w:lang w:val="en-GB"/>
        </w:rPr>
        <w:t xml:space="preserve"> rabbit immune sera, followed </w:t>
      </w:r>
      <w:r w:rsidRPr="009E4EF7">
        <w:rPr>
          <w:rFonts w:ascii="Times New Roman" w:hAnsi="Times New Roman"/>
          <w:bCs/>
          <w:lang w:val="en-GB"/>
        </w:rPr>
        <w:t>by</w:t>
      </w:r>
      <w:r w:rsidRPr="009E4EF7">
        <w:rPr>
          <w:rFonts w:ascii="Times New Roman" w:hAnsi="Times New Roman"/>
          <w:lang w:val="en-GB"/>
        </w:rPr>
        <w:t xml:space="preserve"> FITC-conjugated goat anti-rabbit secondary antibody. Nuclei were counterstained with PI (red).</w:t>
      </w:r>
    </w:p>
    <w:p w14:paraId="6687616A" w14:textId="77777777" w:rsidR="001F3AEC" w:rsidRDefault="001F3AEC" w:rsidP="001F3AEC">
      <w:pPr>
        <w:autoSpaceDE w:val="0"/>
        <w:autoSpaceDN w:val="0"/>
        <w:adjustRightInd w:val="0"/>
        <w:rPr>
          <w:rFonts w:ascii="Times New Roman" w:hAnsi="Times New Roman"/>
          <w:lang w:val="en-GB"/>
        </w:rPr>
      </w:pPr>
    </w:p>
    <w:p w14:paraId="72B0FA2B" w14:textId="77777777" w:rsidR="001F3AEC" w:rsidRDefault="001F3AEC" w:rsidP="001F3AEC">
      <w:pPr>
        <w:autoSpaceDE w:val="0"/>
        <w:autoSpaceDN w:val="0"/>
        <w:adjustRightInd w:val="0"/>
        <w:rPr>
          <w:rFonts w:ascii="Times New Roman" w:hAnsi="Times New Roman"/>
          <w:color w:val="333333"/>
          <w:lang w:val="en-GB"/>
        </w:rPr>
      </w:pPr>
      <w:r w:rsidRPr="005D4CF0">
        <w:rPr>
          <w:rFonts w:ascii="Times New Roman" w:hAnsi="Times New Roman"/>
          <w:b/>
          <w:bCs/>
          <w:sz w:val="28"/>
          <w:szCs w:val="28"/>
          <w:lang w:val="en-GB"/>
        </w:rPr>
        <w:t>Supplementary Figure S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>3</w:t>
      </w:r>
      <w:r w:rsidRPr="005D4CF0">
        <w:rPr>
          <w:rFonts w:ascii="Times New Roman" w:hAnsi="Times New Roman"/>
          <w:b/>
          <w:bCs/>
          <w:sz w:val="28"/>
          <w:szCs w:val="28"/>
          <w:lang w:val="en-GB"/>
        </w:rPr>
        <w:t>:</w:t>
      </w:r>
      <w:r w:rsidRPr="005D4CF0">
        <w:rPr>
          <w:rFonts w:ascii="Times New Roman" w:hAnsi="Times New Roman"/>
          <w:lang w:val="en-GB"/>
        </w:rPr>
        <w:t xml:space="preserve"> </w:t>
      </w:r>
      <w:r w:rsidRPr="005D4CF0">
        <w:rPr>
          <w:rFonts w:ascii="Times New Roman" w:hAnsi="Times New Roman"/>
          <w:b/>
          <w:bCs/>
          <w:lang w:val="en-GB"/>
        </w:rPr>
        <w:t>In vivo</w:t>
      </w:r>
      <w:r w:rsidRPr="009E4EF7">
        <w:rPr>
          <w:rFonts w:ascii="Times New Roman" w:hAnsi="Times New Roman"/>
          <w:b/>
          <w:bCs/>
          <w:lang w:val="en-GB"/>
        </w:rPr>
        <w:t xml:space="preserve"> biodistribution of affibody molecules in healthy normal mice</w:t>
      </w:r>
      <w:r>
        <w:rPr>
          <w:rFonts w:ascii="Times New Roman" w:hAnsi="Times New Roman"/>
          <w:lang w:val="en-GB"/>
        </w:rPr>
        <w:t xml:space="preserve">. </w:t>
      </w:r>
      <w:r w:rsidRPr="009E4EF7">
        <w:rPr>
          <w:rFonts w:ascii="Times New Roman" w:hAnsi="Times New Roman"/>
          <w:lang w:val="en-GB"/>
        </w:rPr>
        <w:t xml:space="preserve">After tail vein </w:t>
      </w:r>
      <w:r w:rsidRPr="009E4EF7">
        <w:rPr>
          <w:rFonts w:ascii="Times New Roman" w:hAnsi="Times New Roman"/>
          <w:bCs/>
          <w:lang w:val="en-GB"/>
        </w:rPr>
        <w:t>injection</w:t>
      </w:r>
      <w:r w:rsidRPr="009E4EF7">
        <w:rPr>
          <w:rFonts w:ascii="Times New Roman" w:hAnsi="Times New Roman"/>
          <w:lang w:val="en-GB"/>
        </w:rPr>
        <w:t xml:space="preserve"> with </w:t>
      </w:r>
      <w:proofErr w:type="spellStart"/>
      <w:r w:rsidRPr="009E4EF7">
        <w:rPr>
          <w:rFonts w:ascii="Times New Roman" w:hAnsi="Times New Roman"/>
          <w:lang w:val="en-GB"/>
        </w:rPr>
        <w:t>Dylight</w:t>
      </w:r>
      <w:proofErr w:type="spellEnd"/>
      <w:r>
        <w:rPr>
          <w:rFonts w:ascii="Times New Roman" w:hAnsi="Times New Roman"/>
          <w:lang w:val="en-GB"/>
        </w:rPr>
        <w:t xml:space="preserve"> </w:t>
      </w:r>
      <w:r w:rsidRPr="009E4EF7">
        <w:rPr>
          <w:rFonts w:ascii="Times New Roman" w:hAnsi="Times New Roman"/>
          <w:lang w:val="en-GB"/>
        </w:rPr>
        <w:t xml:space="preserve">755-labelled affibody molecules, fluorescence images were obtained from mice at different time points. Kidney uptake was prominent for the accumulation of affibody molecules. </w:t>
      </w:r>
      <w:r w:rsidRPr="009E4EF7">
        <w:rPr>
          <w:rFonts w:ascii="Times New Roman" w:hAnsi="Times New Roman"/>
          <w:bCs/>
          <w:lang w:val="en-GB"/>
        </w:rPr>
        <w:t>The accumulation</w:t>
      </w:r>
      <w:r w:rsidRPr="009E4EF7">
        <w:rPr>
          <w:rFonts w:ascii="Times New Roman" w:hAnsi="Times New Roman"/>
          <w:lang w:val="en-GB"/>
        </w:rPr>
        <w:t xml:space="preserve"> of affibody molecules maximally occurred at </w:t>
      </w:r>
      <w:r w:rsidRPr="009E4EF7">
        <w:rPr>
          <w:rFonts w:ascii="Times New Roman" w:hAnsi="Times New Roman"/>
          <w:bCs/>
          <w:lang w:val="en-GB"/>
        </w:rPr>
        <w:t>6 h</w:t>
      </w:r>
      <w:r w:rsidRPr="009E4EF7">
        <w:rPr>
          <w:rFonts w:ascii="Times New Roman" w:hAnsi="Times New Roman"/>
          <w:lang w:val="en-GB"/>
        </w:rPr>
        <w:t xml:space="preserve"> </w:t>
      </w:r>
      <w:proofErr w:type="spellStart"/>
      <w:r w:rsidRPr="009E4EF7">
        <w:rPr>
          <w:rFonts w:ascii="Times New Roman" w:hAnsi="Times New Roman"/>
          <w:lang w:val="en-GB"/>
        </w:rPr>
        <w:t>p.i.</w:t>
      </w:r>
      <w:proofErr w:type="spellEnd"/>
      <w:r w:rsidRPr="009E4EF7">
        <w:rPr>
          <w:rFonts w:ascii="Times New Roman" w:hAnsi="Times New Roman"/>
          <w:lang w:val="en-GB"/>
        </w:rPr>
        <w:t xml:space="preserve"> and then decreased over the time course. The signal was undetectable at 96 </w:t>
      </w:r>
      <w:proofErr w:type="spellStart"/>
      <w:r w:rsidRPr="009E4EF7">
        <w:rPr>
          <w:rFonts w:ascii="Times New Roman" w:hAnsi="Times New Roman"/>
          <w:lang w:val="en-GB"/>
        </w:rPr>
        <w:t>h</w:t>
      </w:r>
      <w:r w:rsidRPr="009E4EF7">
        <w:rPr>
          <w:rFonts w:ascii="Times New Roman" w:hAnsi="Times New Roman"/>
          <w:color w:val="333333"/>
          <w:lang w:val="en-GB"/>
        </w:rPr>
        <w:t>p</w:t>
      </w:r>
      <w:r>
        <w:rPr>
          <w:rFonts w:ascii="Times New Roman" w:hAnsi="Times New Roman"/>
          <w:color w:val="333333"/>
          <w:lang w:val="en-GB"/>
        </w:rPr>
        <w:t>i</w:t>
      </w:r>
      <w:proofErr w:type="spellEnd"/>
      <w:r>
        <w:rPr>
          <w:rFonts w:ascii="Times New Roman" w:hAnsi="Times New Roman"/>
          <w:color w:val="333333"/>
          <w:lang w:val="en-GB"/>
        </w:rPr>
        <w:t>.</w:t>
      </w:r>
    </w:p>
    <w:p w14:paraId="0A7A3B96" w14:textId="77777777" w:rsidR="001F3AEC" w:rsidRPr="00E171BD" w:rsidRDefault="001F3AEC" w:rsidP="001F3AEC">
      <w:pPr>
        <w:autoSpaceDE w:val="0"/>
        <w:autoSpaceDN w:val="0"/>
        <w:adjustRightInd w:val="0"/>
        <w:rPr>
          <w:rFonts w:ascii="Times New Roman" w:hAnsi="Times New Roman"/>
          <w:lang w:val="en-GB"/>
        </w:rPr>
      </w:pPr>
    </w:p>
    <w:p w14:paraId="0E4C95A1" w14:textId="77777777" w:rsidR="001F3AEC" w:rsidRPr="009E4EF7" w:rsidRDefault="001F3AEC" w:rsidP="001F3AEC">
      <w:pPr>
        <w:rPr>
          <w:rFonts w:ascii="Times New Roman" w:hAnsi="Times New Roman"/>
          <w:b/>
          <w:bCs/>
          <w:sz w:val="28"/>
          <w:szCs w:val="28"/>
          <w:lang w:val="en-GB"/>
        </w:rPr>
      </w:pPr>
      <w:r w:rsidRPr="00F9567A">
        <w:rPr>
          <w:rFonts w:ascii="Times New Roman" w:hAnsi="Times New Roman"/>
          <w:b/>
          <w:bCs/>
          <w:sz w:val="28"/>
          <w:szCs w:val="28"/>
          <w:lang w:val="en-GB"/>
        </w:rPr>
        <w:t>Supplementary Figure S</w:t>
      </w:r>
      <w:r>
        <w:rPr>
          <w:rFonts w:ascii="Times New Roman" w:hAnsi="Times New Roman"/>
          <w:b/>
          <w:bCs/>
          <w:sz w:val="28"/>
          <w:szCs w:val="28"/>
          <w:lang w:val="en-GB"/>
        </w:rPr>
        <w:t>4</w:t>
      </w:r>
      <w:r w:rsidRPr="009E4EF7">
        <w:rPr>
          <w:rFonts w:ascii="Times New Roman" w:hAnsi="Times New Roman"/>
          <w:b/>
          <w:bCs/>
          <w:sz w:val="28"/>
          <w:szCs w:val="28"/>
          <w:lang w:val="en-GB"/>
        </w:rPr>
        <w:t xml:space="preserve">: </w:t>
      </w:r>
      <w:r w:rsidRPr="009E4EF7">
        <w:rPr>
          <w:rFonts w:ascii="Times New Roman" w:eastAsia="宋体" w:hAnsi="Times New Roman"/>
          <w:b/>
          <w:bCs/>
          <w:color w:val="211D1E"/>
          <w:kern w:val="0"/>
          <w:sz w:val="24"/>
          <w:szCs w:val="24"/>
          <w:lang w:val="en-GB"/>
        </w:rPr>
        <w:t>Efficacy of Z</w:t>
      </w:r>
      <w:r w:rsidRPr="009E4EF7">
        <w:rPr>
          <w:rFonts w:ascii="Times New Roman" w:eastAsia="宋体" w:hAnsi="Times New Roman"/>
          <w:b/>
          <w:bCs/>
          <w:color w:val="211D1E"/>
          <w:kern w:val="0"/>
          <w:sz w:val="24"/>
          <w:szCs w:val="24"/>
          <w:vertAlign w:val="subscript"/>
          <w:lang w:val="en-GB"/>
        </w:rPr>
        <w:t>LMP2A-N</w:t>
      </w:r>
      <w:r w:rsidRPr="009E4EF7">
        <w:rPr>
          <w:rFonts w:ascii="Times New Roman" w:eastAsia="宋体" w:hAnsi="Times New Roman"/>
          <w:b/>
          <w:bCs/>
          <w:color w:val="211D1E"/>
          <w:kern w:val="0"/>
          <w:sz w:val="24"/>
          <w:szCs w:val="24"/>
          <w:lang w:val="en-GB"/>
        </w:rPr>
        <w:t xml:space="preserve"> affibodies in vitro. </w:t>
      </w:r>
      <w:r w:rsidRPr="009E4EF7">
        <w:rPr>
          <w:rFonts w:ascii="Times New Roman" w:hAnsi="Times New Roman"/>
          <w:lang w:val="en-GB"/>
        </w:rPr>
        <w:t xml:space="preserve">C666-1, CNE-2Z, B95-8 and A375 cells treated with </w:t>
      </w:r>
      <w:r w:rsidRPr="009E4EF7">
        <w:rPr>
          <w:rFonts w:ascii="Times New Roman" w:hAnsi="Times New Roman"/>
          <w:bCs/>
          <w:lang w:val="en-GB"/>
        </w:rPr>
        <w:t xml:space="preserve">the </w:t>
      </w:r>
      <w:r w:rsidRPr="009E4EF7">
        <w:rPr>
          <w:rFonts w:ascii="Times New Roman" w:hAnsi="Times New Roman"/>
          <w:lang w:val="en-GB"/>
        </w:rPr>
        <w:t>indicated concentrations of Z</w:t>
      </w:r>
      <w:r w:rsidRPr="009E4EF7">
        <w:rPr>
          <w:rFonts w:ascii="Times New Roman" w:hAnsi="Times New Roman"/>
          <w:vertAlign w:val="subscript"/>
          <w:lang w:val="en-GB"/>
        </w:rPr>
        <w:t>LMP2A-N</w:t>
      </w:r>
      <w:r w:rsidRPr="009E4EF7">
        <w:rPr>
          <w:rFonts w:ascii="Times New Roman" w:hAnsi="Times New Roman"/>
          <w:lang w:val="en-GB"/>
        </w:rPr>
        <w:t>85, Z</w:t>
      </w:r>
      <w:r w:rsidRPr="009E4EF7">
        <w:rPr>
          <w:rFonts w:ascii="Times New Roman" w:hAnsi="Times New Roman"/>
          <w:vertAlign w:val="subscript"/>
          <w:lang w:val="en-GB"/>
        </w:rPr>
        <w:t>LMP2A-N</w:t>
      </w:r>
      <w:r w:rsidRPr="009E4EF7">
        <w:rPr>
          <w:rFonts w:ascii="Times New Roman" w:hAnsi="Times New Roman"/>
          <w:lang w:val="en-GB"/>
        </w:rPr>
        <w:t>110, Z</w:t>
      </w:r>
      <w:r w:rsidRPr="009E4EF7">
        <w:rPr>
          <w:rFonts w:ascii="Times New Roman" w:hAnsi="Times New Roman"/>
          <w:vertAlign w:val="subscript"/>
          <w:lang w:val="en-GB"/>
        </w:rPr>
        <w:t>LMA-N</w:t>
      </w:r>
      <w:r w:rsidRPr="009E4EF7">
        <w:rPr>
          <w:rFonts w:ascii="Times New Roman" w:hAnsi="Times New Roman"/>
          <w:lang w:val="en-GB"/>
        </w:rPr>
        <w:t>252 or Z</w:t>
      </w:r>
      <w:r w:rsidRPr="009E4EF7">
        <w:rPr>
          <w:rFonts w:ascii="Times New Roman" w:hAnsi="Times New Roman"/>
          <w:vertAlign w:val="subscript"/>
          <w:lang w:val="en-GB"/>
        </w:rPr>
        <w:t>WT</w:t>
      </w:r>
      <w:r w:rsidRPr="009E4EF7">
        <w:rPr>
          <w:rFonts w:ascii="Times New Roman" w:hAnsi="Times New Roman"/>
          <w:lang w:val="en-GB"/>
        </w:rPr>
        <w:t xml:space="preserve"> for </w:t>
      </w:r>
      <w:r w:rsidRPr="009E4EF7">
        <w:rPr>
          <w:rFonts w:ascii="Times New Roman" w:hAnsi="Times New Roman"/>
          <w:bCs/>
          <w:lang w:val="en-GB"/>
        </w:rPr>
        <w:t>72 h</w:t>
      </w:r>
      <w:r w:rsidRPr="009E4EF7">
        <w:rPr>
          <w:rFonts w:ascii="Times New Roman" w:hAnsi="Times New Roman"/>
          <w:lang w:val="en-GB"/>
        </w:rPr>
        <w:t xml:space="preserve">. Cell viability was measured using </w:t>
      </w:r>
      <w:r w:rsidRPr="009E4EF7">
        <w:rPr>
          <w:rFonts w:ascii="Times New Roman" w:hAnsi="Times New Roman"/>
          <w:bCs/>
          <w:lang w:val="en-GB"/>
        </w:rPr>
        <w:t xml:space="preserve">a </w:t>
      </w:r>
      <w:r w:rsidRPr="009E4EF7">
        <w:rPr>
          <w:rFonts w:ascii="Times New Roman" w:hAnsi="Times New Roman"/>
          <w:lang w:val="en-GB"/>
        </w:rPr>
        <w:t xml:space="preserve">CCK-8 assay. EBV-positive cell viability decreased with </w:t>
      </w:r>
      <w:r w:rsidRPr="009E4EF7">
        <w:rPr>
          <w:rFonts w:ascii="Times New Roman" w:hAnsi="Times New Roman"/>
          <w:bCs/>
          <w:lang w:val="en-GB"/>
        </w:rPr>
        <w:t>increasing concentrations</w:t>
      </w:r>
      <w:r w:rsidRPr="009E4EF7">
        <w:rPr>
          <w:rFonts w:ascii="Times New Roman" w:hAnsi="Times New Roman"/>
          <w:lang w:val="en-GB"/>
        </w:rPr>
        <w:t xml:space="preserve"> of Z</w:t>
      </w:r>
      <w:r w:rsidRPr="009E4EF7">
        <w:rPr>
          <w:rFonts w:ascii="Times New Roman" w:hAnsi="Times New Roman"/>
          <w:vertAlign w:val="subscript"/>
          <w:lang w:val="en-GB"/>
        </w:rPr>
        <w:t>LMP2A-N</w:t>
      </w:r>
      <w:r w:rsidRPr="009E4EF7">
        <w:rPr>
          <w:rFonts w:ascii="Times New Roman" w:hAnsi="Times New Roman"/>
          <w:lang w:val="en-GB"/>
        </w:rPr>
        <w:t>85, Z</w:t>
      </w:r>
      <w:r w:rsidRPr="009E4EF7">
        <w:rPr>
          <w:rFonts w:ascii="Times New Roman" w:hAnsi="Times New Roman"/>
          <w:vertAlign w:val="subscript"/>
          <w:lang w:val="en-GB"/>
        </w:rPr>
        <w:t>LMP2A-N</w:t>
      </w:r>
      <w:r w:rsidRPr="009E4EF7">
        <w:rPr>
          <w:rFonts w:ascii="Times New Roman" w:hAnsi="Times New Roman"/>
          <w:lang w:val="en-GB"/>
        </w:rPr>
        <w:t>110 and Z</w:t>
      </w:r>
      <w:r w:rsidRPr="009E4EF7">
        <w:rPr>
          <w:rFonts w:ascii="Times New Roman" w:hAnsi="Times New Roman"/>
          <w:vertAlign w:val="subscript"/>
          <w:lang w:val="en-GB"/>
        </w:rPr>
        <w:t>LMA-N</w:t>
      </w:r>
      <w:r w:rsidRPr="009E4EF7">
        <w:rPr>
          <w:rFonts w:ascii="Times New Roman" w:hAnsi="Times New Roman"/>
          <w:lang w:val="en-GB"/>
        </w:rPr>
        <w:t>252 compared with that with the Z</w:t>
      </w:r>
      <w:r w:rsidRPr="009E4EF7">
        <w:rPr>
          <w:rFonts w:ascii="Times New Roman" w:hAnsi="Times New Roman"/>
          <w:vertAlign w:val="subscript"/>
          <w:lang w:val="en-GB"/>
        </w:rPr>
        <w:t>WT</w:t>
      </w:r>
      <w:r w:rsidRPr="009E4EF7">
        <w:rPr>
          <w:rFonts w:ascii="Times New Roman" w:hAnsi="Times New Roman"/>
          <w:lang w:val="en-GB"/>
        </w:rPr>
        <w:t xml:space="preserve"> control, whereas A375 cells treated with the same </w:t>
      </w:r>
      <w:r w:rsidRPr="009E4EF7">
        <w:rPr>
          <w:rFonts w:ascii="Times New Roman" w:hAnsi="Times New Roman"/>
          <w:bCs/>
          <w:lang w:val="en-GB"/>
        </w:rPr>
        <w:t>concentrations</w:t>
      </w:r>
      <w:r w:rsidRPr="009E4EF7">
        <w:rPr>
          <w:rFonts w:ascii="Times New Roman" w:hAnsi="Times New Roman"/>
          <w:lang w:val="en-GB"/>
        </w:rPr>
        <w:t xml:space="preserve"> of affibody molecules remained fully viable. Data are displayed as </w:t>
      </w:r>
      <w:r w:rsidRPr="009E4EF7">
        <w:rPr>
          <w:rFonts w:ascii="Times New Roman" w:hAnsi="Times New Roman"/>
          <w:bCs/>
          <w:lang w:val="en-GB"/>
        </w:rPr>
        <w:t xml:space="preserve">the </w:t>
      </w:r>
      <w:r w:rsidRPr="009E4EF7">
        <w:rPr>
          <w:rFonts w:ascii="Times New Roman" w:hAnsi="Times New Roman"/>
          <w:lang w:val="en-GB"/>
        </w:rPr>
        <w:t>mean ± SD (n=3).</w:t>
      </w:r>
    </w:p>
    <w:p w14:paraId="29576A2D" w14:textId="77777777" w:rsidR="00816D54" w:rsidRDefault="00816D54">
      <w:bookmarkStart w:id="0" w:name="_GoBack"/>
      <w:bookmarkEnd w:id="0"/>
    </w:p>
    <w:sectPr w:rsidR="00816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D929C" w14:textId="77777777" w:rsidR="001F3AEC" w:rsidRDefault="001F3AEC" w:rsidP="001F3AEC">
      <w:r>
        <w:separator/>
      </w:r>
    </w:p>
  </w:endnote>
  <w:endnote w:type="continuationSeparator" w:id="0">
    <w:p w14:paraId="49E17089" w14:textId="77777777" w:rsidR="001F3AEC" w:rsidRDefault="001F3AEC" w:rsidP="001F3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A020E" w14:textId="77777777" w:rsidR="001F3AEC" w:rsidRDefault="001F3AEC" w:rsidP="001F3AEC">
      <w:r>
        <w:separator/>
      </w:r>
    </w:p>
  </w:footnote>
  <w:footnote w:type="continuationSeparator" w:id="0">
    <w:p w14:paraId="0227AB1C" w14:textId="77777777" w:rsidR="001F3AEC" w:rsidRDefault="001F3AEC" w:rsidP="001F3A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D83"/>
    <w:rsid w:val="001F3AEC"/>
    <w:rsid w:val="00816D54"/>
    <w:rsid w:val="00906D83"/>
    <w:rsid w:val="00BD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C2AB461-B583-4AC3-8657-BB09A972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AEC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3A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3AE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3AE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3A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stiwel</dc:creator>
  <cp:keywords/>
  <dc:description/>
  <cp:lastModifiedBy>stiwel</cp:lastModifiedBy>
  <cp:revision>2</cp:revision>
  <dcterms:created xsi:type="dcterms:W3CDTF">2020-03-11T02:24:00Z</dcterms:created>
  <dcterms:modified xsi:type="dcterms:W3CDTF">2020-03-11T02:24:00Z</dcterms:modified>
</cp:coreProperties>
</file>