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875B9" w14:textId="19F21BC7" w:rsidR="00EF0BD7" w:rsidRDefault="00EF0BD7" w:rsidP="003B5191">
      <w:pPr>
        <w:pStyle w:val="Default"/>
        <w:jc w:val="both"/>
        <w:rPr>
          <w:rFonts w:ascii="Arial" w:hAnsi="Arial" w:cs="Arial"/>
          <w:b/>
          <w:sz w:val="22"/>
          <w:szCs w:val="22"/>
          <w:lang w:val="en-US"/>
        </w:rPr>
      </w:pPr>
    </w:p>
    <w:p w14:paraId="7840B207" w14:textId="77777777" w:rsidR="00454C4F" w:rsidRDefault="00454C4F" w:rsidP="003B5191">
      <w:pPr>
        <w:pStyle w:val="Default"/>
        <w:spacing w:line="276" w:lineRule="auto"/>
        <w:jc w:val="both"/>
        <w:rPr>
          <w:rFonts w:ascii="Arial" w:hAnsi="Arial" w:cs="Arial"/>
          <w:b/>
          <w:sz w:val="22"/>
          <w:szCs w:val="22"/>
          <w:lang w:val="en-US"/>
        </w:rPr>
      </w:pPr>
      <w:r w:rsidRPr="003B7111">
        <w:rPr>
          <w:rFonts w:ascii="Arial" w:hAnsi="Arial" w:cs="Arial"/>
          <w:b/>
          <w:sz w:val="22"/>
          <w:szCs w:val="22"/>
          <w:lang w:val="en-US"/>
        </w:rPr>
        <w:t>Supplementary figure 1. Erastin kinetics in glucose and galactose</w:t>
      </w:r>
      <w:r>
        <w:rPr>
          <w:rFonts w:ascii="Arial" w:hAnsi="Arial" w:cs="Arial"/>
          <w:b/>
          <w:sz w:val="22"/>
          <w:szCs w:val="22"/>
          <w:lang w:val="en-US"/>
        </w:rPr>
        <w:t xml:space="preserve"> </w:t>
      </w:r>
      <w:r w:rsidRPr="003B7111">
        <w:rPr>
          <w:rFonts w:ascii="Arial" w:hAnsi="Arial" w:cs="Arial"/>
          <w:sz w:val="22"/>
          <w:szCs w:val="22"/>
          <w:lang w:val="en-US"/>
        </w:rPr>
        <w:t xml:space="preserve">(A and B) MTT assay in HT22 cells treated for 16h with different CyPPA concentrations (5 - 50µM) in the absence or presence of erastin (1.5µM) in conditions of glucose (A) or galactose (B).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n=6,</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w:t>
      </w:r>
      <w:r w:rsidRPr="008446C3">
        <w:rPr>
          <w:rFonts w:ascii="Arial" w:hAnsi="Arial" w:cs="Arial"/>
          <w:sz w:val="22"/>
          <w:szCs w:val="22"/>
          <w:vertAlign w:val="superscript"/>
          <w:lang w:val="en-US"/>
        </w:rPr>
        <w:t>*</w:t>
      </w:r>
      <w:r w:rsidRPr="003B7111">
        <w:rPr>
          <w:rFonts w:ascii="Arial" w:hAnsi="Arial" w:cs="Arial"/>
          <w:sz w:val="22"/>
          <w:szCs w:val="22"/>
          <w:lang w:val="en-US"/>
        </w:rPr>
        <w:t xml:space="preserve">compared to control, </w:t>
      </w:r>
      <w:r w:rsidRPr="003B7111">
        <w:rPr>
          <w:rFonts w:ascii="Arial" w:hAnsi="Arial" w:cs="Arial"/>
          <w:sz w:val="22"/>
          <w:szCs w:val="22"/>
          <w:vertAlign w:val="superscript"/>
          <w:lang w:val="en-US"/>
        </w:rPr>
        <w:t>#</w:t>
      </w:r>
      <w:r w:rsidRPr="003B7111">
        <w:rPr>
          <w:rFonts w:ascii="Arial" w:hAnsi="Arial" w:cs="Arial"/>
          <w:sz w:val="22"/>
          <w:szCs w:val="22"/>
          <w:lang w:val="en-US"/>
        </w:rPr>
        <w:t xml:space="preserve">compared to erastin alone. (C and E) xCELLigence real-time impedance measurements of HT22 cells challenged with erastin (1.5µM) in the presence of different CyPPA concentrations (1 - 50µM) in glucose (C) or galactose (E).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n=6. (D and F) MTT assay in HT22 cells challenged with different erastin concentrations (1µM – 3µM) with or without CyPPA (10µM), in the presence of glucose (D) or galactose (F).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n=6,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w:t>
      </w:r>
      <w:r w:rsidRPr="008446C3">
        <w:rPr>
          <w:rFonts w:ascii="Arial" w:hAnsi="Arial" w:cs="Arial"/>
          <w:sz w:val="22"/>
          <w:szCs w:val="22"/>
          <w:vertAlign w:val="superscript"/>
          <w:lang w:val="en-US"/>
        </w:rPr>
        <w:t>*</w:t>
      </w:r>
      <w:r w:rsidRPr="003B7111">
        <w:rPr>
          <w:rFonts w:ascii="Arial" w:hAnsi="Arial" w:cs="Arial"/>
          <w:sz w:val="22"/>
          <w:szCs w:val="22"/>
          <w:lang w:val="en-US"/>
        </w:rPr>
        <w:t xml:space="preserve">compared to control </w:t>
      </w:r>
      <w:r w:rsidRPr="003B7111">
        <w:rPr>
          <w:rFonts w:ascii="Arial" w:hAnsi="Arial" w:cs="Arial"/>
          <w:sz w:val="22"/>
          <w:szCs w:val="22"/>
          <w:vertAlign w:val="superscript"/>
          <w:lang w:val="en-US"/>
        </w:rPr>
        <w:t>#</w:t>
      </w:r>
      <w:r w:rsidRPr="003B7111">
        <w:rPr>
          <w:rFonts w:ascii="Arial" w:hAnsi="Arial" w:cs="Arial"/>
          <w:sz w:val="22"/>
          <w:szCs w:val="22"/>
          <w:lang w:val="en-US"/>
        </w:rPr>
        <w:t>compared to CyPPA alone.</w:t>
      </w:r>
    </w:p>
    <w:p w14:paraId="37FFB744" w14:textId="10C241EF" w:rsidR="00132AAE" w:rsidRPr="003B5191" w:rsidRDefault="003B5191" w:rsidP="003B5191">
      <w:pPr>
        <w:jc w:val="both"/>
        <w:rPr>
          <w:rFonts w:ascii="Arial" w:hAnsi="Arial" w:cs="Arial"/>
          <w:b/>
          <w:color w:val="000000"/>
        </w:rPr>
      </w:pPr>
      <w:r>
        <w:rPr>
          <w:rFonts w:ascii="Arial" w:hAnsi="Arial" w:cs="Arial"/>
          <w:b/>
        </w:rPr>
        <w:br/>
      </w:r>
      <w:bookmarkStart w:id="0" w:name="_GoBack"/>
      <w:bookmarkEnd w:id="0"/>
      <w:r w:rsidR="00132AAE">
        <w:rPr>
          <w:rFonts w:ascii="Arial" w:hAnsi="Arial" w:cs="Arial"/>
          <w:b/>
        </w:rPr>
        <w:t xml:space="preserve">Supplementary figure 2. </w:t>
      </w:r>
      <w:r w:rsidR="00C67A40">
        <w:rPr>
          <w:rFonts w:ascii="Arial" w:hAnsi="Arial" w:cs="Arial"/>
          <w:b/>
        </w:rPr>
        <w:t xml:space="preserve">BSO treatment in HT22 cells. </w:t>
      </w:r>
      <w:r w:rsidR="00C67A40" w:rsidRPr="00C67A40">
        <w:rPr>
          <w:rFonts w:ascii="Arial" w:hAnsi="Arial" w:cs="Arial"/>
        </w:rPr>
        <w:t xml:space="preserve">MTT assay (A), Annexin/PI measurements (B), xCELLigence real-time impedance measurement (C) and mitochondrial superoxide production measured by </w:t>
      </w:r>
      <w:proofErr w:type="spellStart"/>
      <w:r w:rsidR="00C67A40" w:rsidRPr="00C67A40">
        <w:rPr>
          <w:rFonts w:ascii="Arial" w:hAnsi="Arial" w:cs="Arial"/>
        </w:rPr>
        <w:t>mitoSOX</w:t>
      </w:r>
      <w:proofErr w:type="spellEnd"/>
      <w:r w:rsidR="00C67A40" w:rsidRPr="00C67A40">
        <w:rPr>
          <w:rFonts w:ascii="Arial" w:hAnsi="Arial" w:cs="Arial"/>
        </w:rPr>
        <w:t xml:space="preserve"> fluorescence (D) in HT22 cells treated with different concentrations of BSO (1 - 150µM) in the absence or presence of 10µM CyPPA (in experiments A, B and D). Data are presented as </w:t>
      </w:r>
      <w:proofErr w:type="spellStart"/>
      <w:r w:rsidR="00C67A40" w:rsidRPr="00C67A40">
        <w:rPr>
          <w:rFonts w:ascii="Arial" w:hAnsi="Arial" w:cs="Arial"/>
        </w:rPr>
        <w:t>mean±SD</w:t>
      </w:r>
      <w:proofErr w:type="spellEnd"/>
      <w:r w:rsidR="00C67A40" w:rsidRPr="00C67A40">
        <w:rPr>
          <w:rFonts w:ascii="Arial" w:hAnsi="Arial" w:cs="Arial"/>
        </w:rPr>
        <w:t xml:space="preserve">, </w:t>
      </w:r>
      <w:r w:rsidR="00C67A40" w:rsidRPr="00C67A40">
        <w:rPr>
          <w:rFonts w:ascii="Arial" w:hAnsi="Arial" w:cs="Arial"/>
          <w:vertAlign w:val="superscript"/>
        </w:rPr>
        <w:t>***</w:t>
      </w:r>
      <w:r w:rsidR="00C67A40" w:rsidRPr="00C67A40">
        <w:rPr>
          <w:rFonts w:ascii="Arial" w:hAnsi="Arial" w:cs="Arial"/>
          <w:i/>
        </w:rPr>
        <w:t>p</w:t>
      </w:r>
      <w:r w:rsidR="00C67A40" w:rsidRPr="00C67A40">
        <w:rPr>
          <w:rFonts w:ascii="Arial" w:hAnsi="Arial" w:cs="Arial"/>
        </w:rPr>
        <w:t xml:space="preserve">&lt;0.001 compared to ctr, </w:t>
      </w:r>
      <w:r w:rsidR="00C67A40" w:rsidRPr="00C67A40">
        <w:rPr>
          <w:rFonts w:ascii="Arial" w:hAnsi="Arial" w:cs="Arial"/>
          <w:vertAlign w:val="superscript"/>
        </w:rPr>
        <w:t>###</w:t>
      </w:r>
      <w:r w:rsidR="00C67A40" w:rsidRPr="00C67A40">
        <w:rPr>
          <w:rFonts w:ascii="Arial" w:hAnsi="Arial" w:cs="Arial"/>
          <w:i/>
        </w:rPr>
        <w:t>p</w:t>
      </w:r>
      <w:r w:rsidR="00C67A40" w:rsidRPr="00C67A40">
        <w:rPr>
          <w:rFonts w:ascii="Arial" w:hAnsi="Arial" w:cs="Arial"/>
        </w:rPr>
        <w:t>&lt;0.001 compared to BSO alone.</w:t>
      </w:r>
    </w:p>
    <w:p w14:paraId="605F7FA2" w14:textId="20AE8543" w:rsidR="00454C4F" w:rsidRDefault="00454C4F" w:rsidP="003B5191">
      <w:pPr>
        <w:pStyle w:val="Default"/>
        <w:spacing w:line="276" w:lineRule="auto"/>
        <w:jc w:val="both"/>
        <w:rPr>
          <w:rFonts w:ascii="Arial" w:hAnsi="Arial" w:cs="Arial"/>
          <w:sz w:val="22"/>
          <w:szCs w:val="22"/>
          <w:lang w:val="en-US"/>
        </w:rPr>
      </w:pPr>
      <w:r w:rsidRPr="003B7111">
        <w:rPr>
          <w:rFonts w:ascii="Arial" w:hAnsi="Arial" w:cs="Arial"/>
          <w:b/>
          <w:sz w:val="22"/>
          <w:szCs w:val="22"/>
          <w:lang w:val="en-US"/>
        </w:rPr>
        <w:t xml:space="preserve">Supplementary figure </w:t>
      </w:r>
      <w:r w:rsidR="00132AAE">
        <w:rPr>
          <w:rFonts w:ascii="Arial" w:hAnsi="Arial" w:cs="Arial"/>
          <w:b/>
          <w:sz w:val="22"/>
          <w:szCs w:val="22"/>
          <w:lang w:val="en-US"/>
        </w:rPr>
        <w:t>3</w:t>
      </w:r>
      <w:r w:rsidR="003B5191">
        <w:rPr>
          <w:rFonts w:ascii="Arial" w:hAnsi="Arial" w:cs="Arial"/>
          <w:b/>
          <w:sz w:val="22"/>
          <w:szCs w:val="22"/>
          <w:lang w:val="en-US"/>
        </w:rPr>
        <w:t xml:space="preserve"> Mitochondrial </w:t>
      </w:r>
      <w:proofErr w:type="spellStart"/>
      <w:r w:rsidR="003B5191">
        <w:rPr>
          <w:rFonts w:ascii="Arial" w:hAnsi="Arial" w:cs="Arial"/>
          <w:b/>
          <w:sz w:val="22"/>
          <w:szCs w:val="22"/>
          <w:lang w:val="en-US"/>
        </w:rPr>
        <w:t>morphofunction</w:t>
      </w:r>
      <w:proofErr w:type="spellEnd"/>
      <w:r w:rsidR="003B5191">
        <w:rPr>
          <w:rFonts w:ascii="Arial" w:hAnsi="Arial" w:cs="Arial"/>
          <w:b/>
          <w:sz w:val="22"/>
          <w:szCs w:val="22"/>
          <w:lang w:val="en-US"/>
        </w:rPr>
        <w:t xml:space="preserve"> in HT22 cells</w:t>
      </w:r>
      <w:r w:rsidRPr="003B7111">
        <w:rPr>
          <w:rFonts w:ascii="Arial" w:hAnsi="Arial" w:cs="Arial"/>
          <w:b/>
          <w:sz w:val="22"/>
          <w:szCs w:val="22"/>
          <w:lang w:val="en-US"/>
        </w:rPr>
        <w:t xml:space="preserve">. </w:t>
      </w:r>
      <w:r w:rsidRPr="003B7111">
        <w:rPr>
          <w:rFonts w:ascii="Arial" w:hAnsi="Arial" w:cs="Arial"/>
          <w:bCs/>
          <w:color w:val="auto"/>
          <w:sz w:val="22"/>
          <w:szCs w:val="22"/>
          <w:lang w:val="en-US"/>
        </w:rPr>
        <w:t xml:space="preserve">(A) </w:t>
      </w:r>
      <w:r w:rsidRPr="003B7111">
        <w:rPr>
          <w:rFonts w:ascii="Arial" w:hAnsi="Arial" w:cs="Arial"/>
          <w:color w:val="222222"/>
          <w:sz w:val="22"/>
          <w:szCs w:val="22"/>
          <w:shd w:val="clear" w:color="auto" w:fill="FFFFFF"/>
          <w:lang w:val="en-US"/>
        </w:rPr>
        <w:t>Image processing of TMRM-stained HT22 cells; original image recorded from the microscope (RAW); Binary image (BIN); Masked image (MSK).</w:t>
      </w:r>
      <w:r w:rsidRPr="003B7111">
        <w:rPr>
          <w:rFonts w:ascii="Arial" w:hAnsi="Arial" w:cs="Arial"/>
          <w:bCs/>
          <w:color w:val="auto"/>
          <w:sz w:val="22"/>
          <w:szCs w:val="22"/>
          <w:lang w:val="en-US"/>
        </w:rPr>
        <w:t xml:space="preserve"> (B) Mitochondrial “morphofunction” parameters after 24</w:t>
      </w:r>
      <w:r>
        <w:rPr>
          <w:rFonts w:ascii="Arial" w:hAnsi="Arial" w:cs="Arial"/>
          <w:bCs/>
          <w:color w:val="auto"/>
          <w:sz w:val="22"/>
          <w:szCs w:val="22"/>
          <w:lang w:val="en-US"/>
        </w:rPr>
        <w:t>h (upper panels) or (C) 48 h</w:t>
      </w:r>
      <w:r w:rsidRPr="003B7111">
        <w:rPr>
          <w:rFonts w:ascii="Arial" w:hAnsi="Arial" w:cs="Arial"/>
          <w:bCs/>
          <w:color w:val="auto"/>
          <w:sz w:val="22"/>
          <w:szCs w:val="22"/>
          <w:lang w:val="en-US"/>
        </w:rPr>
        <w:t xml:space="preserve"> (lower panels) of CyPPA treatment (1</w:t>
      </w:r>
      <w:r w:rsidRPr="003B7111">
        <w:rPr>
          <w:rFonts w:ascii="Arial" w:hAnsi="Arial" w:cs="Arial"/>
          <w:sz w:val="22"/>
          <w:szCs w:val="22"/>
          <w:lang w:val="en-US"/>
        </w:rPr>
        <w:t>µM)</w:t>
      </w:r>
      <w:r w:rsidRPr="003B7111">
        <w:rPr>
          <w:rFonts w:ascii="Arial" w:hAnsi="Arial" w:cs="Arial"/>
          <w:bCs/>
          <w:color w:val="auto"/>
          <w:sz w:val="22"/>
          <w:szCs w:val="22"/>
          <w:lang w:val="en-US"/>
        </w:rPr>
        <w:t xml:space="preserve"> extracted by high-resolution microscopy are shown. </w:t>
      </w:r>
      <w:r w:rsidRPr="003B7111">
        <w:rPr>
          <w:rFonts w:ascii="Arial" w:hAnsi="Arial" w:cs="Arial"/>
          <w:sz w:val="22"/>
          <w:szCs w:val="22"/>
          <w:lang w:val="en-US"/>
        </w:rPr>
        <w:t>Descriptors ‘</w:t>
      </w:r>
      <w:proofErr w:type="spellStart"/>
      <w:r w:rsidRPr="003B7111">
        <w:rPr>
          <w:rFonts w:ascii="Arial" w:hAnsi="Arial" w:cs="Arial"/>
          <w:sz w:val="22"/>
          <w:szCs w:val="22"/>
          <w:lang w:val="en-US"/>
        </w:rPr>
        <w:t>casum</w:t>
      </w:r>
      <w:proofErr w:type="spellEnd"/>
      <w:r w:rsidRPr="003B7111">
        <w:rPr>
          <w:rFonts w:ascii="Arial" w:hAnsi="Arial" w:cs="Arial"/>
          <w:sz w:val="22"/>
          <w:szCs w:val="22"/>
          <w:lang w:val="en-US"/>
        </w:rPr>
        <w:t>’ and ‘</w:t>
      </w:r>
      <w:proofErr w:type="spellStart"/>
      <w:r w:rsidRPr="003B7111">
        <w:rPr>
          <w:rFonts w:ascii="Arial" w:hAnsi="Arial" w:cs="Arial"/>
          <w:sz w:val="22"/>
          <w:szCs w:val="22"/>
          <w:lang w:val="en-US"/>
        </w:rPr>
        <w:t>Nn</w:t>
      </w:r>
      <w:proofErr w:type="spellEnd"/>
      <w:r w:rsidRPr="003B7111">
        <w:rPr>
          <w:rFonts w:ascii="Arial" w:hAnsi="Arial" w:cs="Arial"/>
          <w:sz w:val="22"/>
          <w:szCs w:val="22"/>
          <w:lang w:val="en-US"/>
        </w:rPr>
        <w:t xml:space="preserve">’ are based respectively on </w:t>
      </w:r>
      <w:proofErr w:type="spellStart"/>
      <w:r w:rsidRPr="003B7111">
        <w:rPr>
          <w:rFonts w:ascii="Arial" w:hAnsi="Arial" w:cs="Arial"/>
          <w:sz w:val="22"/>
          <w:szCs w:val="22"/>
          <w:lang w:val="en-US"/>
        </w:rPr>
        <w:t>Calcein</w:t>
      </w:r>
      <w:proofErr w:type="spellEnd"/>
      <w:r w:rsidRPr="003B7111">
        <w:rPr>
          <w:rFonts w:ascii="Arial" w:hAnsi="Arial" w:cs="Arial"/>
          <w:sz w:val="22"/>
          <w:szCs w:val="22"/>
          <w:lang w:val="en-US"/>
        </w:rPr>
        <w:t xml:space="preserve"> and Hoechst staining. The average mitochondrial intensity of the TMRM signal is represented as ‘density mean’.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n=3,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versus glucose alone,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versus galactose only treated cells. </w:t>
      </w:r>
    </w:p>
    <w:p w14:paraId="4AB062C9" w14:textId="77777777" w:rsidR="00454C4F" w:rsidRDefault="00454C4F" w:rsidP="003B5191">
      <w:pPr>
        <w:pStyle w:val="Default"/>
        <w:spacing w:line="276" w:lineRule="auto"/>
        <w:jc w:val="both"/>
        <w:rPr>
          <w:rFonts w:ascii="Arial" w:hAnsi="Arial" w:cs="Arial"/>
          <w:sz w:val="22"/>
          <w:szCs w:val="22"/>
          <w:lang w:val="en-US"/>
        </w:rPr>
      </w:pPr>
    </w:p>
    <w:p w14:paraId="56680878" w14:textId="1E34D40E" w:rsidR="00454C4F" w:rsidRDefault="00454C4F" w:rsidP="003B5191">
      <w:pPr>
        <w:pStyle w:val="Default"/>
        <w:spacing w:before="120" w:line="276" w:lineRule="auto"/>
        <w:jc w:val="both"/>
        <w:rPr>
          <w:rFonts w:ascii="Arial" w:hAnsi="Arial" w:cs="Arial"/>
          <w:sz w:val="22"/>
          <w:szCs w:val="22"/>
          <w:lang w:val="en-US"/>
        </w:rPr>
      </w:pPr>
      <w:r w:rsidRPr="003B7111">
        <w:rPr>
          <w:rFonts w:ascii="Arial" w:hAnsi="Arial" w:cs="Arial"/>
          <w:b/>
          <w:sz w:val="22"/>
          <w:szCs w:val="22"/>
          <w:lang w:val="en-US"/>
        </w:rPr>
        <w:t xml:space="preserve">Supplementary figure </w:t>
      </w:r>
      <w:r w:rsidR="00132AAE">
        <w:rPr>
          <w:rFonts w:ascii="Arial" w:hAnsi="Arial" w:cs="Arial"/>
          <w:b/>
          <w:sz w:val="22"/>
          <w:szCs w:val="22"/>
          <w:lang w:val="en-US"/>
        </w:rPr>
        <w:t>4</w:t>
      </w:r>
      <w:r w:rsidRPr="003B7111">
        <w:rPr>
          <w:rFonts w:ascii="Arial" w:hAnsi="Arial" w:cs="Arial"/>
          <w:b/>
          <w:sz w:val="22"/>
          <w:szCs w:val="22"/>
          <w:lang w:val="en-US"/>
        </w:rPr>
        <w:t>. CyPPA kinetics in glucose and galactose</w:t>
      </w:r>
      <w:r>
        <w:rPr>
          <w:rFonts w:ascii="Arial" w:hAnsi="Arial" w:cs="Arial"/>
          <w:b/>
          <w:sz w:val="22"/>
          <w:szCs w:val="22"/>
          <w:lang w:val="en-US"/>
        </w:rPr>
        <w:t xml:space="preserve"> </w:t>
      </w:r>
      <w:r w:rsidRPr="003B7111">
        <w:rPr>
          <w:rFonts w:ascii="Arial" w:hAnsi="Arial" w:cs="Arial"/>
          <w:sz w:val="22"/>
          <w:szCs w:val="22"/>
          <w:lang w:val="en-US"/>
        </w:rPr>
        <w:t xml:space="preserve">(A and B) MTT assay in HT22 cells treated with CyPPA (5, 10, 25 and 50µM, grey bars) in glucose and galactose treated for 24h (A) and 48h (B).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n=6,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w:t>
      </w:r>
      <w:r w:rsidRPr="00EF0BD7">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to glucose control </w:t>
      </w:r>
      <w:r w:rsidRPr="003B7111">
        <w:rPr>
          <w:rFonts w:ascii="Arial" w:hAnsi="Arial" w:cs="Arial"/>
          <w:sz w:val="22"/>
          <w:szCs w:val="22"/>
          <w:vertAlign w:val="superscript"/>
          <w:lang w:val="en-US"/>
        </w:rPr>
        <w:t>#</w:t>
      </w:r>
      <w:r w:rsidRPr="003B7111">
        <w:rPr>
          <w:rFonts w:ascii="Arial" w:hAnsi="Arial" w:cs="Arial"/>
          <w:sz w:val="22"/>
          <w:szCs w:val="22"/>
          <w:lang w:val="en-US"/>
        </w:rPr>
        <w:t>compared to galactose control.</w:t>
      </w:r>
    </w:p>
    <w:p w14:paraId="1BBF80CC" w14:textId="623B1C87" w:rsidR="00454C4F" w:rsidRPr="003B5191" w:rsidRDefault="003B5191" w:rsidP="003B5191">
      <w:pPr>
        <w:jc w:val="both"/>
        <w:rPr>
          <w:rFonts w:ascii="Arial" w:hAnsi="Arial" w:cs="Arial"/>
          <w:color w:val="000000"/>
        </w:rPr>
      </w:pPr>
      <w:r>
        <w:rPr>
          <w:rFonts w:ascii="Arial" w:hAnsi="Arial" w:cs="Arial"/>
        </w:rPr>
        <w:br/>
      </w:r>
      <w:r w:rsidR="00454C4F" w:rsidRPr="003B7111">
        <w:rPr>
          <w:rFonts w:ascii="Arial" w:hAnsi="Arial" w:cs="Arial"/>
          <w:b/>
        </w:rPr>
        <w:t xml:space="preserve">Supplementary figure </w:t>
      </w:r>
      <w:r w:rsidR="00132AAE">
        <w:rPr>
          <w:rFonts w:ascii="Arial" w:hAnsi="Arial" w:cs="Arial"/>
          <w:b/>
        </w:rPr>
        <w:t>5</w:t>
      </w:r>
      <w:r w:rsidR="00454C4F" w:rsidRPr="003B7111">
        <w:rPr>
          <w:rFonts w:ascii="Arial" w:hAnsi="Arial" w:cs="Arial"/>
          <w:b/>
        </w:rPr>
        <w:t xml:space="preserve">. </w:t>
      </w:r>
      <w:r w:rsidR="00454C4F" w:rsidRPr="003B7111">
        <w:rPr>
          <w:rFonts w:ascii="Arial" w:hAnsi="Arial" w:cs="Arial"/>
          <w:b/>
          <w:bCs/>
        </w:rPr>
        <w:t>Neuroprotective effects of CyPPA dependent on glycolytic activity</w:t>
      </w:r>
      <w:r w:rsidR="00454C4F">
        <w:rPr>
          <w:rFonts w:ascii="Arial" w:hAnsi="Arial" w:cs="Arial"/>
          <w:b/>
          <w:bCs/>
        </w:rPr>
        <w:t xml:space="preserve"> </w:t>
      </w:r>
      <w:r w:rsidR="00454C4F" w:rsidRPr="003B7111">
        <w:rPr>
          <w:rFonts w:ascii="Arial" w:hAnsi="Arial" w:cs="Arial"/>
          <w:bCs/>
        </w:rPr>
        <w:t xml:space="preserve">(A and B) Subtracting the basal ECAR values from the maximum ECAR values in response to oligomycin application provided the values of the glycolytic reserve in the left panel (A) for glucose and in the right panel (B) for galactose. No significant differences are observed following CyPPA application. (C) depicts ATP production, calculated by subtracting OCR value after </w:t>
      </w:r>
      <w:r w:rsidR="00454C4F" w:rsidRPr="00631CC1">
        <w:rPr>
          <w:rFonts w:ascii="Arial" w:hAnsi="Arial" w:cs="Arial"/>
          <w:bCs/>
        </w:rPr>
        <w:t xml:space="preserve">oligomycin application from the OCR value before oligomycin. Data are presented as </w:t>
      </w:r>
      <w:proofErr w:type="spellStart"/>
      <w:r w:rsidR="00454C4F" w:rsidRPr="00631CC1">
        <w:rPr>
          <w:rFonts w:ascii="Arial" w:hAnsi="Arial" w:cs="Arial"/>
        </w:rPr>
        <w:t>mean±SD</w:t>
      </w:r>
      <w:proofErr w:type="spellEnd"/>
      <w:r w:rsidR="00454C4F" w:rsidRPr="00631CC1">
        <w:rPr>
          <w:rFonts w:ascii="Arial" w:hAnsi="Arial" w:cs="Arial"/>
        </w:rPr>
        <w:t xml:space="preserve">, n=3-6, </w:t>
      </w:r>
      <w:r w:rsidR="00454C4F" w:rsidRPr="00EF0BD7">
        <w:rPr>
          <w:rFonts w:ascii="Arial" w:hAnsi="Arial" w:cs="Arial"/>
          <w:vertAlign w:val="superscript"/>
        </w:rPr>
        <w:t>*</w:t>
      </w:r>
      <w:r w:rsidR="00454C4F" w:rsidRPr="00631CC1">
        <w:rPr>
          <w:rFonts w:ascii="Arial" w:hAnsi="Arial" w:cs="Arial"/>
          <w:i/>
        </w:rPr>
        <w:t>p&lt;</w:t>
      </w:r>
      <w:r w:rsidR="00454C4F" w:rsidRPr="00631CC1">
        <w:rPr>
          <w:rFonts w:ascii="Arial" w:hAnsi="Arial" w:cs="Arial"/>
        </w:rPr>
        <w:t xml:space="preserve">0.05, </w:t>
      </w:r>
      <w:r w:rsidR="00454C4F" w:rsidRPr="00EF0BD7">
        <w:rPr>
          <w:rFonts w:ascii="Arial" w:hAnsi="Arial" w:cs="Arial"/>
          <w:vertAlign w:val="superscript"/>
        </w:rPr>
        <w:t>***</w:t>
      </w:r>
      <w:r w:rsidR="00454C4F" w:rsidRPr="00631CC1">
        <w:rPr>
          <w:rFonts w:ascii="Arial" w:hAnsi="Arial" w:cs="Arial"/>
          <w:i/>
        </w:rPr>
        <w:t>p&lt;</w:t>
      </w:r>
      <w:r w:rsidR="00454C4F" w:rsidRPr="00631CC1">
        <w:rPr>
          <w:rFonts w:ascii="Arial" w:hAnsi="Arial" w:cs="Arial"/>
        </w:rPr>
        <w:t>0.001 compared to control. In galactose, no difference in ATP production is observed after CyPPA application. (D) Representative measurement of the normalized oxygen consumption rate (OCR) in glucose (left) and galactose (right) following the application of CyPPA (5 and 10µM, time point of injection indicated by the arrow). (D) glycolytic capacity calculated from ECAR measurements in glucose (left panel) or galactose (right panel) following CyPPA treatment. Data are presented a</w:t>
      </w:r>
      <w:r w:rsidR="00454C4F">
        <w:rPr>
          <w:rFonts w:ascii="Arial" w:hAnsi="Arial" w:cs="Arial"/>
        </w:rPr>
        <w:t xml:space="preserve">s </w:t>
      </w:r>
      <w:proofErr w:type="spellStart"/>
      <w:r w:rsidR="00454C4F">
        <w:rPr>
          <w:rFonts w:ascii="Arial" w:hAnsi="Arial" w:cs="Arial"/>
        </w:rPr>
        <w:t>mean±SD</w:t>
      </w:r>
      <w:proofErr w:type="spellEnd"/>
      <w:r w:rsidR="00454C4F">
        <w:rPr>
          <w:rFonts w:ascii="Arial" w:hAnsi="Arial" w:cs="Arial"/>
        </w:rPr>
        <w:t>, n=3-6 per condition.</w:t>
      </w:r>
    </w:p>
    <w:p w14:paraId="07A1A3A7" w14:textId="68233502" w:rsidR="00454C4F" w:rsidRPr="003B5191" w:rsidRDefault="00454C4F" w:rsidP="003B5191">
      <w:pPr>
        <w:jc w:val="both"/>
        <w:rPr>
          <w:rFonts w:ascii="Arial" w:hAnsi="Arial" w:cs="Arial"/>
          <w:b/>
          <w:color w:val="000000"/>
        </w:rPr>
      </w:pPr>
      <w:r w:rsidRPr="003B7111">
        <w:rPr>
          <w:rFonts w:ascii="Arial" w:hAnsi="Arial" w:cs="Arial"/>
          <w:b/>
        </w:rPr>
        <w:t xml:space="preserve">Supplementary figure </w:t>
      </w:r>
      <w:r w:rsidR="00132AAE">
        <w:rPr>
          <w:rFonts w:ascii="Arial" w:hAnsi="Arial" w:cs="Arial"/>
          <w:b/>
        </w:rPr>
        <w:t>6</w:t>
      </w:r>
      <w:r w:rsidRPr="003B7111">
        <w:rPr>
          <w:rFonts w:ascii="Arial" w:hAnsi="Arial" w:cs="Arial"/>
          <w:b/>
        </w:rPr>
        <w:t xml:space="preserve">. </w:t>
      </w:r>
      <w:r w:rsidRPr="003B7111">
        <w:rPr>
          <w:rFonts w:ascii="Arial" w:hAnsi="Arial" w:cs="Arial"/>
          <w:b/>
          <w:bCs/>
        </w:rPr>
        <w:t>Neuroprotective effects of CyPPA dependent on glycolytic activity</w:t>
      </w:r>
      <w:r>
        <w:rPr>
          <w:rFonts w:ascii="Arial" w:hAnsi="Arial" w:cs="Arial"/>
          <w:b/>
          <w:bCs/>
        </w:rPr>
        <w:t xml:space="preserve"> </w:t>
      </w:r>
      <w:r>
        <w:rPr>
          <w:rFonts w:ascii="Arial" w:hAnsi="Arial" w:cs="Arial"/>
        </w:rPr>
        <w:t>(A – F</w:t>
      </w:r>
      <w:r w:rsidRPr="003B7111">
        <w:rPr>
          <w:rFonts w:ascii="Arial" w:hAnsi="Arial" w:cs="Arial"/>
        </w:rPr>
        <w:t>) MTT assay in HT22 cells treated with different co</w:t>
      </w:r>
      <w:r>
        <w:rPr>
          <w:rFonts w:ascii="Arial" w:hAnsi="Arial" w:cs="Arial"/>
        </w:rPr>
        <w:t xml:space="preserve">ncentrations of DCA (1 – </w:t>
      </w:r>
      <w:r>
        <w:rPr>
          <w:rFonts w:ascii="Arial" w:hAnsi="Arial" w:cs="Arial"/>
        </w:rPr>
        <w:lastRenderedPageBreak/>
        <w:t>10mM (A</w:t>
      </w:r>
      <w:r w:rsidRPr="003B7111">
        <w:rPr>
          <w:rFonts w:ascii="Arial" w:hAnsi="Arial" w:cs="Arial"/>
        </w:rPr>
        <w:t xml:space="preserve"> and </w:t>
      </w:r>
      <w:r>
        <w:rPr>
          <w:rFonts w:ascii="Arial" w:hAnsi="Arial" w:cs="Arial"/>
        </w:rPr>
        <w:t>D) for 24h. (B</w:t>
      </w:r>
      <w:r w:rsidRPr="003B7111">
        <w:rPr>
          <w:rFonts w:ascii="Arial" w:hAnsi="Arial" w:cs="Arial"/>
        </w:rPr>
        <w:t xml:space="preserve"> and </w:t>
      </w:r>
      <w:r>
        <w:rPr>
          <w:rFonts w:ascii="Arial" w:hAnsi="Arial" w:cs="Arial"/>
        </w:rPr>
        <w:t>E</w:t>
      </w:r>
      <w:r w:rsidRPr="003B7111">
        <w:rPr>
          <w:rFonts w:ascii="Arial" w:hAnsi="Arial" w:cs="Arial"/>
        </w:rPr>
        <w:t>) HT22 cells treated with DCA before (8h) and during erastin (1.5µM, 16h) stimulation. (</w:t>
      </w:r>
      <w:r>
        <w:rPr>
          <w:rFonts w:ascii="Arial" w:hAnsi="Arial" w:cs="Arial"/>
        </w:rPr>
        <w:t>C and F</w:t>
      </w:r>
      <w:r w:rsidRPr="003B7111">
        <w:rPr>
          <w:rFonts w:ascii="Arial" w:hAnsi="Arial" w:cs="Arial"/>
        </w:rPr>
        <w:t>) HT22 cells treated 8h with DCA and CyPPA (10µM) before and during eras</w:t>
      </w:r>
      <w:r>
        <w:rPr>
          <w:rFonts w:ascii="Arial" w:hAnsi="Arial" w:cs="Arial"/>
        </w:rPr>
        <w:t>tin (1.5µM, 16h) stimulation. (A</w:t>
      </w:r>
      <w:r w:rsidRPr="003B7111">
        <w:rPr>
          <w:rFonts w:ascii="Arial" w:hAnsi="Arial" w:cs="Arial"/>
        </w:rPr>
        <w:t xml:space="preserve"> – </w:t>
      </w:r>
      <w:r>
        <w:rPr>
          <w:rFonts w:ascii="Arial" w:hAnsi="Arial" w:cs="Arial"/>
        </w:rPr>
        <w:t>C</w:t>
      </w:r>
      <w:r w:rsidRPr="003B7111">
        <w:rPr>
          <w:rFonts w:ascii="Arial" w:hAnsi="Arial" w:cs="Arial"/>
        </w:rPr>
        <w:t xml:space="preserve">) represent experiments of </w:t>
      </w:r>
      <w:r w:rsidRPr="004831AA">
        <w:rPr>
          <w:rFonts w:ascii="Arial" w:hAnsi="Arial" w:cs="Arial"/>
        </w:rPr>
        <w:t xml:space="preserve">cells grown in glucose, (D – F) represent experiments of cells grown in galactose.  </w:t>
      </w:r>
      <w:r w:rsidRPr="004831AA">
        <w:rPr>
          <w:rFonts w:ascii="Arial" w:hAnsi="Arial" w:cs="Arial"/>
          <w:bCs/>
        </w:rPr>
        <w:t xml:space="preserve">Data are presented as </w:t>
      </w:r>
      <w:proofErr w:type="spellStart"/>
      <w:r w:rsidRPr="004831AA">
        <w:rPr>
          <w:rFonts w:ascii="Arial" w:hAnsi="Arial" w:cs="Arial"/>
        </w:rPr>
        <w:t>mean±SD</w:t>
      </w:r>
      <w:proofErr w:type="spellEnd"/>
      <w:r w:rsidRPr="004831AA">
        <w:rPr>
          <w:rFonts w:ascii="Arial" w:hAnsi="Arial" w:cs="Arial"/>
        </w:rPr>
        <w:t xml:space="preserve">, n=6, </w:t>
      </w:r>
      <w:r w:rsidRPr="004831AA">
        <w:rPr>
          <w:rFonts w:ascii="Arial" w:hAnsi="Arial" w:cs="Arial"/>
          <w:vertAlign w:val="superscript"/>
        </w:rPr>
        <w:t>*</w:t>
      </w:r>
      <w:r w:rsidRPr="004831AA">
        <w:rPr>
          <w:rFonts w:ascii="Arial" w:hAnsi="Arial" w:cs="Arial"/>
          <w:i/>
        </w:rPr>
        <w:t>p&lt;</w:t>
      </w:r>
      <w:r w:rsidRPr="004831AA">
        <w:rPr>
          <w:rFonts w:ascii="Arial" w:hAnsi="Arial" w:cs="Arial"/>
        </w:rPr>
        <w:t xml:space="preserve">0.05, </w:t>
      </w:r>
      <w:r w:rsidRPr="004831AA">
        <w:rPr>
          <w:rFonts w:ascii="Arial" w:hAnsi="Arial" w:cs="Arial"/>
          <w:vertAlign w:val="superscript"/>
        </w:rPr>
        <w:t>***</w:t>
      </w:r>
      <w:r w:rsidRPr="004831AA">
        <w:rPr>
          <w:rFonts w:ascii="Arial" w:hAnsi="Arial" w:cs="Arial"/>
          <w:i/>
        </w:rPr>
        <w:t>p&lt;</w:t>
      </w:r>
      <w:r w:rsidRPr="004831AA">
        <w:rPr>
          <w:rFonts w:ascii="Arial" w:hAnsi="Arial" w:cs="Arial"/>
        </w:rPr>
        <w:t xml:space="preserve">0.001 compared to control, </w:t>
      </w:r>
      <w:r w:rsidRPr="004831AA">
        <w:rPr>
          <w:rFonts w:ascii="Arial" w:hAnsi="Arial" w:cs="Arial"/>
          <w:vertAlign w:val="superscript"/>
        </w:rPr>
        <w:t>###</w:t>
      </w:r>
      <w:r w:rsidRPr="004831AA">
        <w:rPr>
          <w:rFonts w:ascii="Arial" w:hAnsi="Arial" w:cs="Arial"/>
          <w:i/>
        </w:rPr>
        <w:t>p&lt;</w:t>
      </w:r>
      <w:r w:rsidRPr="004831AA">
        <w:rPr>
          <w:rFonts w:ascii="Arial" w:hAnsi="Arial" w:cs="Arial"/>
        </w:rPr>
        <w:t>0.001 compared to erastin alone,</w:t>
      </w:r>
      <w:r w:rsidRPr="004831AA">
        <w:rPr>
          <w:rFonts w:ascii="Arial" w:hAnsi="Arial" w:cs="Arial"/>
          <w:vertAlign w:val="superscript"/>
        </w:rPr>
        <w:t xml:space="preserve"> $$$</w:t>
      </w:r>
      <w:r w:rsidRPr="004831AA">
        <w:rPr>
          <w:rFonts w:ascii="Arial" w:hAnsi="Arial" w:cs="Arial"/>
          <w:i/>
        </w:rPr>
        <w:t>p&lt;</w:t>
      </w:r>
      <w:r w:rsidRPr="004831AA">
        <w:rPr>
          <w:rFonts w:ascii="Arial" w:hAnsi="Arial" w:cs="Arial"/>
        </w:rPr>
        <w:t xml:space="preserve">0.001 compared to erastin + CyPPA. </w:t>
      </w:r>
      <w:r w:rsidR="00EF0BD7">
        <w:rPr>
          <w:rFonts w:ascii="Arial" w:hAnsi="Arial" w:cs="Arial"/>
        </w:rPr>
        <w:t xml:space="preserve">(G) </w:t>
      </w:r>
      <w:r w:rsidRPr="004831AA">
        <w:rPr>
          <w:rFonts w:ascii="Arial" w:hAnsi="Arial" w:cs="Arial"/>
        </w:rPr>
        <w:t>MTT assay of HT22 cells pre-treated for 6h with lactate (0-150mM) and challenged with erastin (1.5μM) for 16h.</w:t>
      </w:r>
    </w:p>
    <w:p w14:paraId="507C7D96" w14:textId="4B33B904" w:rsidR="00454C4F" w:rsidRPr="00EF0BD7" w:rsidRDefault="00454C4F" w:rsidP="003B5191">
      <w:pPr>
        <w:pStyle w:val="Default"/>
        <w:spacing w:line="276" w:lineRule="auto"/>
        <w:jc w:val="both"/>
        <w:rPr>
          <w:rFonts w:ascii="Arial" w:hAnsi="Arial" w:cs="Arial"/>
          <w:b/>
          <w:bCs/>
          <w:sz w:val="22"/>
          <w:szCs w:val="22"/>
          <w:lang w:val="en-US"/>
        </w:rPr>
      </w:pPr>
      <w:r w:rsidRPr="003B7111">
        <w:rPr>
          <w:rFonts w:ascii="Arial" w:hAnsi="Arial" w:cs="Arial"/>
          <w:b/>
          <w:sz w:val="22"/>
          <w:szCs w:val="22"/>
          <w:lang w:val="en-US"/>
        </w:rPr>
        <w:t xml:space="preserve">Supplementary figure </w:t>
      </w:r>
      <w:r w:rsidR="00132AAE">
        <w:rPr>
          <w:rFonts w:ascii="Arial" w:hAnsi="Arial" w:cs="Arial"/>
          <w:b/>
          <w:sz w:val="22"/>
          <w:szCs w:val="22"/>
          <w:lang w:val="en-US"/>
        </w:rPr>
        <w:t>7</w:t>
      </w:r>
      <w:r w:rsidRPr="003B7111">
        <w:rPr>
          <w:rFonts w:ascii="Arial" w:hAnsi="Arial" w:cs="Arial"/>
          <w:b/>
          <w:sz w:val="22"/>
          <w:szCs w:val="22"/>
          <w:lang w:val="en-US"/>
        </w:rPr>
        <w:t xml:space="preserve">. </w:t>
      </w:r>
      <w:r w:rsidRPr="003B7111">
        <w:rPr>
          <w:rFonts w:ascii="Arial" w:hAnsi="Arial" w:cs="Arial"/>
          <w:b/>
          <w:bCs/>
          <w:sz w:val="22"/>
          <w:szCs w:val="22"/>
          <w:lang w:val="en-US"/>
        </w:rPr>
        <w:t>Neuroprotective effects of CyPPA dependent on</w:t>
      </w:r>
      <w:r>
        <w:rPr>
          <w:rFonts w:ascii="Arial" w:hAnsi="Arial" w:cs="Arial"/>
          <w:b/>
          <w:bCs/>
          <w:sz w:val="22"/>
          <w:szCs w:val="22"/>
          <w:lang w:val="en-US"/>
        </w:rPr>
        <w:t xml:space="preserve"> mitochondrial ROS production </w:t>
      </w:r>
      <w:r w:rsidRPr="003B7111">
        <w:rPr>
          <w:rFonts w:ascii="Arial" w:hAnsi="Arial" w:cs="Arial"/>
          <w:sz w:val="22"/>
          <w:szCs w:val="22"/>
          <w:lang w:val="en-US"/>
        </w:rPr>
        <w:t xml:space="preserve">(A) </w:t>
      </w:r>
      <w:r>
        <w:rPr>
          <w:rFonts w:ascii="Arial" w:hAnsi="Arial" w:cs="Arial"/>
          <w:bCs/>
          <w:color w:val="auto"/>
          <w:sz w:val="22"/>
          <w:szCs w:val="22"/>
          <w:lang w:val="en-US"/>
        </w:rPr>
        <w:t xml:space="preserve">Represents maximum uncoupled respiration, measured by high-resolution respirometry, obtained after titration with FCCP. (B) </w:t>
      </w:r>
      <w:r w:rsidRPr="003B7111">
        <w:rPr>
          <w:rFonts w:ascii="Arial" w:hAnsi="Arial" w:cs="Arial"/>
          <w:sz w:val="22"/>
          <w:szCs w:val="22"/>
          <w:lang w:val="en-US"/>
        </w:rPr>
        <w:t xml:space="preserve">Mitochondrial membrane potential loss </w:t>
      </w:r>
      <w:r w:rsidRPr="003B7111">
        <w:rPr>
          <w:rFonts w:ascii="Arial" w:hAnsi="Arial" w:cs="Arial"/>
          <w:bCs/>
          <w:color w:val="auto"/>
          <w:sz w:val="22"/>
          <w:szCs w:val="22"/>
          <w:lang w:val="en-US"/>
        </w:rPr>
        <w:t>was measured using the fluorescent dye TMRE and FACS analysis after CyPPA (10-50</w:t>
      </w:r>
      <w:r w:rsidRPr="003B7111">
        <w:rPr>
          <w:rFonts w:ascii="Arial" w:hAnsi="Arial" w:cs="Arial"/>
          <w:sz w:val="22"/>
          <w:szCs w:val="22"/>
          <w:lang w:val="en-US"/>
        </w:rPr>
        <w:t xml:space="preserve">µM, 24h) </w:t>
      </w:r>
      <w:r w:rsidRPr="003B7111">
        <w:rPr>
          <w:rFonts w:ascii="Arial" w:hAnsi="Arial" w:cs="Arial"/>
          <w:bCs/>
          <w:color w:val="auto"/>
          <w:sz w:val="22"/>
          <w:szCs w:val="22"/>
          <w:lang w:val="en-US"/>
        </w:rPr>
        <w:t>exposure and 30 min CCCP treatment as positive control (50</w:t>
      </w:r>
      <w:r w:rsidRPr="003B7111">
        <w:rPr>
          <w:rFonts w:ascii="Arial" w:hAnsi="Arial" w:cs="Arial"/>
          <w:sz w:val="22"/>
          <w:szCs w:val="22"/>
          <w:lang w:val="en-US"/>
        </w:rPr>
        <w:t xml:space="preserve">µM).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n=3</w:t>
      </w:r>
      <w:r w:rsidRPr="003B7111">
        <w:rPr>
          <w:rFonts w:ascii="Arial" w:hAnsi="Arial" w:cs="Arial"/>
          <w:bCs/>
          <w:color w:val="auto"/>
          <w:sz w:val="22"/>
          <w:szCs w:val="22"/>
          <w:lang w:val="en-US"/>
        </w:rPr>
        <w:t xml:space="preserve">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0.001 compared to control. (</w:t>
      </w:r>
      <w:r>
        <w:rPr>
          <w:rFonts w:ascii="Arial" w:hAnsi="Arial" w:cs="Arial"/>
          <w:sz w:val="22"/>
          <w:szCs w:val="22"/>
          <w:lang w:val="en-US"/>
        </w:rPr>
        <w:t>C</w:t>
      </w:r>
      <w:r w:rsidRPr="003B7111">
        <w:rPr>
          <w:rFonts w:ascii="Arial" w:hAnsi="Arial" w:cs="Arial"/>
          <w:sz w:val="22"/>
          <w:szCs w:val="22"/>
          <w:lang w:val="en-US"/>
        </w:rPr>
        <w:t xml:space="preserve">) Mitochondrial superoxide levels were measured using the fluorescent dye MitoSOX and FACS analysis after MnTBAP treatment (5 - 20µM) for 24h in either glucose or galactose.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n=3</w:t>
      </w:r>
      <w:r w:rsidRPr="003B7111">
        <w:rPr>
          <w:rFonts w:ascii="Arial" w:hAnsi="Arial" w:cs="Arial"/>
          <w:bCs/>
          <w:color w:val="auto"/>
          <w:sz w:val="22"/>
          <w:szCs w:val="22"/>
          <w:lang w:val="en-US"/>
        </w:rPr>
        <w:t xml:space="preserve">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to control,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0.01,</w:t>
      </w:r>
      <w:r w:rsidRPr="003B7111">
        <w:rPr>
          <w:rFonts w:ascii="Arial" w:hAnsi="Arial" w:cs="Arial"/>
          <w:sz w:val="22"/>
          <w:szCs w:val="22"/>
          <w:vertAlign w:val="superscript"/>
          <w:lang w:val="en-US"/>
        </w:rPr>
        <w:t xml:space="preserve"> ###</w:t>
      </w:r>
      <w:r w:rsidRPr="003B7111">
        <w:rPr>
          <w:rFonts w:ascii="Arial" w:hAnsi="Arial" w:cs="Arial"/>
          <w:i/>
          <w:sz w:val="22"/>
          <w:szCs w:val="22"/>
          <w:lang w:val="en-US"/>
        </w:rPr>
        <w:t>p&lt;</w:t>
      </w:r>
      <w:r w:rsidRPr="003B7111">
        <w:rPr>
          <w:rFonts w:ascii="Arial" w:hAnsi="Arial" w:cs="Arial"/>
          <w:sz w:val="22"/>
          <w:szCs w:val="22"/>
          <w:lang w:val="en-US"/>
        </w:rPr>
        <w:t>0.001 compared to glucose alone. (</w:t>
      </w:r>
      <w:r>
        <w:rPr>
          <w:rFonts w:ascii="Arial" w:hAnsi="Arial" w:cs="Arial"/>
          <w:sz w:val="22"/>
          <w:szCs w:val="22"/>
          <w:lang w:val="en-US"/>
        </w:rPr>
        <w:t>D</w:t>
      </w:r>
      <w:r w:rsidRPr="003B7111">
        <w:rPr>
          <w:rFonts w:ascii="Arial" w:hAnsi="Arial" w:cs="Arial"/>
          <w:sz w:val="22"/>
          <w:szCs w:val="22"/>
          <w:lang w:val="en-US"/>
        </w:rPr>
        <w:t xml:space="preserve"> – </w:t>
      </w:r>
      <w:r>
        <w:rPr>
          <w:rFonts w:ascii="Arial" w:hAnsi="Arial" w:cs="Arial"/>
          <w:sz w:val="22"/>
          <w:szCs w:val="22"/>
          <w:lang w:val="en-US"/>
        </w:rPr>
        <w:t>J</w:t>
      </w:r>
      <w:r w:rsidRPr="003B7111">
        <w:rPr>
          <w:rFonts w:ascii="Arial" w:hAnsi="Arial" w:cs="Arial"/>
          <w:sz w:val="22"/>
          <w:szCs w:val="22"/>
          <w:lang w:val="en-US"/>
        </w:rPr>
        <w:t>) MTT assay in HT22 cells treated with MnTBAP (different concentrations, 1-20µM) without (</w:t>
      </w:r>
      <w:r>
        <w:rPr>
          <w:rFonts w:ascii="Arial" w:hAnsi="Arial" w:cs="Arial"/>
          <w:sz w:val="22"/>
          <w:szCs w:val="22"/>
          <w:lang w:val="en-US"/>
        </w:rPr>
        <w:t>D</w:t>
      </w:r>
      <w:r w:rsidRPr="003B7111">
        <w:rPr>
          <w:rFonts w:ascii="Arial" w:hAnsi="Arial" w:cs="Arial"/>
          <w:sz w:val="22"/>
          <w:szCs w:val="22"/>
          <w:lang w:val="en-US"/>
        </w:rPr>
        <w:t xml:space="preserve">, glucose; </w:t>
      </w:r>
      <w:r>
        <w:rPr>
          <w:rFonts w:ascii="Arial" w:hAnsi="Arial" w:cs="Arial"/>
          <w:sz w:val="22"/>
          <w:szCs w:val="22"/>
          <w:lang w:val="en-US"/>
        </w:rPr>
        <w:t>G</w:t>
      </w:r>
      <w:r w:rsidRPr="003B7111">
        <w:rPr>
          <w:rFonts w:ascii="Arial" w:hAnsi="Arial" w:cs="Arial"/>
          <w:sz w:val="22"/>
          <w:szCs w:val="22"/>
          <w:lang w:val="en-US"/>
        </w:rPr>
        <w:t>, galactose) and before and during erastin challenge (1.5µM) (</w:t>
      </w:r>
      <w:r>
        <w:rPr>
          <w:rFonts w:ascii="Arial" w:hAnsi="Arial" w:cs="Arial"/>
          <w:sz w:val="22"/>
          <w:szCs w:val="22"/>
          <w:lang w:val="en-US"/>
        </w:rPr>
        <w:t>E</w:t>
      </w:r>
      <w:r w:rsidRPr="003B7111">
        <w:rPr>
          <w:rFonts w:ascii="Arial" w:hAnsi="Arial" w:cs="Arial"/>
          <w:sz w:val="22"/>
          <w:szCs w:val="22"/>
          <w:lang w:val="en-US"/>
        </w:rPr>
        <w:t xml:space="preserve"> and </w:t>
      </w:r>
      <w:r>
        <w:rPr>
          <w:rFonts w:ascii="Arial" w:hAnsi="Arial" w:cs="Arial"/>
          <w:sz w:val="22"/>
          <w:szCs w:val="22"/>
          <w:lang w:val="en-US"/>
        </w:rPr>
        <w:t>I</w:t>
      </w:r>
      <w:r w:rsidRPr="003B7111">
        <w:rPr>
          <w:rFonts w:ascii="Arial" w:hAnsi="Arial" w:cs="Arial"/>
          <w:sz w:val="22"/>
          <w:szCs w:val="22"/>
          <w:lang w:val="en-US"/>
        </w:rPr>
        <w:t>) or only during erastin challenge (</w:t>
      </w:r>
      <w:r>
        <w:rPr>
          <w:rFonts w:ascii="Arial" w:hAnsi="Arial" w:cs="Arial"/>
          <w:sz w:val="22"/>
          <w:szCs w:val="22"/>
          <w:lang w:val="en-US"/>
        </w:rPr>
        <w:t>H</w:t>
      </w:r>
      <w:r w:rsidRPr="003B7111">
        <w:rPr>
          <w:rFonts w:ascii="Arial" w:hAnsi="Arial" w:cs="Arial"/>
          <w:sz w:val="22"/>
          <w:szCs w:val="22"/>
          <w:lang w:val="en-US"/>
        </w:rPr>
        <w:t>). (</w:t>
      </w:r>
      <w:r>
        <w:rPr>
          <w:rFonts w:ascii="Arial" w:hAnsi="Arial" w:cs="Arial"/>
          <w:sz w:val="22"/>
          <w:szCs w:val="22"/>
          <w:lang w:val="en-US"/>
        </w:rPr>
        <w:t>F</w:t>
      </w:r>
      <w:r w:rsidRPr="003B7111">
        <w:rPr>
          <w:rFonts w:ascii="Arial" w:hAnsi="Arial" w:cs="Arial"/>
          <w:sz w:val="22"/>
          <w:szCs w:val="22"/>
          <w:lang w:val="en-US"/>
        </w:rPr>
        <w:t xml:space="preserve"> and </w:t>
      </w:r>
      <w:r>
        <w:rPr>
          <w:rFonts w:ascii="Arial" w:hAnsi="Arial" w:cs="Arial"/>
          <w:sz w:val="22"/>
          <w:szCs w:val="22"/>
          <w:lang w:val="en-US"/>
        </w:rPr>
        <w:t>J</w:t>
      </w:r>
      <w:r w:rsidRPr="003B7111">
        <w:rPr>
          <w:rFonts w:ascii="Arial" w:hAnsi="Arial" w:cs="Arial"/>
          <w:sz w:val="22"/>
          <w:szCs w:val="22"/>
          <w:lang w:val="en-US"/>
        </w:rPr>
        <w:t xml:space="preserve">) MTT assay after treatment of 8h MnTBAP in the presence of CyPPA, following treatment in the presence of erastin (1.5µM).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n=6,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control,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to erastin treatment,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0.05,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to erastin + CyPPA. </w:t>
      </w:r>
    </w:p>
    <w:p w14:paraId="144B6216" w14:textId="4B3004A4" w:rsidR="00454C4F" w:rsidRPr="001C367F" w:rsidRDefault="00454C4F" w:rsidP="003B5191">
      <w:pPr>
        <w:pStyle w:val="Default"/>
        <w:spacing w:line="276" w:lineRule="auto"/>
        <w:jc w:val="both"/>
        <w:rPr>
          <w:rFonts w:ascii="Arial" w:hAnsi="Arial" w:cs="Arial"/>
          <w:b/>
          <w:sz w:val="22"/>
          <w:szCs w:val="22"/>
          <w:lang w:val="en-GB"/>
        </w:rPr>
      </w:pPr>
      <w:r w:rsidRPr="003B7111">
        <w:rPr>
          <w:rFonts w:ascii="Arial" w:hAnsi="Arial" w:cs="Arial"/>
          <w:sz w:val="22"/>
          <w:szCs w:val="22"/>
          <w:lang w:val="en-US"/>
        </w:rPr>
        <w:br/>
      </w:r>
      <w:r>
        <w:rPr>
          <w:rFonts w:ascii="Arial" w:hAnsi="Arial" w:cs="Arial"/>
          <w:b/>
          <w:sz w:val="22"/>
          <w:szCs w:val="22"/>
          <w:lang w:val="en-US"/>
        </w:rPr>
        <w:t xml:space="preserve">Supplementary figure </w:t>
      </w:r>
      <w:r w:rsidR="00132AAE">
        <w:rPr>
          <w:rFonts w:ascii="Arial" w:hAnsi="Arial" w:cs="Arial"/>
          <w:b/>
          <w:sz w:val="22"/>
          <w:szCs w:val="22"/>
          <w:lang w:val="en-US"/>
        </w:rPr>
        <w:t>8</w:t>
      </w:r>
      <w:r w:rsidRPr="003B7111">
        <w:rPr>
          <w:rFonts w:ascii="Arial" w:hAnsi="Arial" w:cs="Arial"/>
          <w:b/>
          <w:sz w:val="22"/>
          <w:szCs w:val="22"/>
          <w:lang w:val="en-US"/>
        </w:rPr>
        <w:t xml:space="preserve">. </w:t>
      </w:r>
      <w:r w:rsidRPr="003B7111">
        <w:rPr>
          <w:rFonts w:ascii="Arial" w:hAnsi="Arial" w:cs="Arial"/>
          <w:b/>
          <w:bCs/>
          <w:sz w:val="22"/>
          <w:szCs w:val="22"/>
          <w:lang w:val="en-US"/>
        </w:rPr>
        <w:t xml:space="preserve">SK channel-mediated protection against paraquat in HT22 cells </w:t>
      </w:r>
      <w:r w:rsidRPr="003B7111">
        <w:rPr>
          <w:rFonts w:ascii="Arial" w:hAnsi="Arial" w:cs="Arial"/>
          <w:sz w:val="22"/>
          <w:szCs w:val="22"/>
          <w:lang w:val="en-GB"/>
        </w:rPr>
        <w:t>(A) MTT assay in HT22 cells after paraquat (PQ) treatment (500 – 1000</w:t>
      </w:r>
      <w:r w:rsidRPr="003B7111">
        <w:rPr>
          <w:rFonts w:ascii="Arial" w:hAnsi="Arial" w:cs="Arial"/>
          <w:sz w:val="22"/>
          <w:szCs w:val="22"/>
          <w:lang w:val="en-US"/>
        </w:rPr>
        <w:t>µM)</w:t>
      </w:r>
      <w:r w:rsidRPr="003B7111">
        <w:rPr>
          <w:rFonts w:ascii="Arial" w:hAnsi="Arial" w:cs="Arial"/>
          <w:sz w:val="22"/>
          <w:szCs w:val="22"/>
          <w:lang w:val="en-GB"/>
        </w:rPr>
        <w:t xml:space="preserve"> (24h) in the absence or presence of CyPPA (10 or 50</w:t>
      </w:r>
      <w:r w:rsidRPr="003B7111">
        <w:rPr>
          <w:rFonts w:ascii="Arial" w:hAnsi="Arial" w:cs="Arial"/>
          <w:sz w:val="22"/>
          <w:szCs w:val="22"/>
          <w:lang w:val="en-US"/>
        </w:rPr>
        <w:t>µM). (B)</w:t>
      </w:r>
      <w:r w:rsidRPr="003B7111">
        <w:rPr>
          <w:rFonts w:ascii="Arial" w:hAnsi="Arial" w:cs="Arial"/>
          <w:sz w:val="22"/>
          <w:szCs w:val="22"/>
          <w:lang w:val="en-GB"/>
        </w:rPr>
        <w:t xml:space="preserve"> MTT assay in HT22 cells after paraquat treatment (350-450</w:t>
      </w:r>
      <w:r w:rsidRPr="003B7111">
        <w:rPr>
          <w:rFonts w:ascii="Arial" w:hAnsi="Arial" w:cs="Arial"/>
          <w:sz w:val="22"/>
          <w:szCs w:val="22"/>
          <w:lang w:val="en-US"/>
        </w:rPr>
        <w:t>µM)</w:t>
      </w:r>
      <w:r w:rsidRPr="003B7111">
        <w:rPr>
          <w:rFonts w:ascii="Arial" w:hAnsi="Arial" w:cs="Arial"/>
          <w:sz w:val="22"/>
          <w:szCs w:val="22"/>
          <w:lang w:val="en-GB"/>
        </w:rPr>
        <w:t xml:space="preserve"> (24h) in the absence or presence of CyPPA (10 or 50</w:t>
      </w:r>
      <w:r w:rsidRPr="003B7111">
        <w:rPr>
          <w:rFonts w:ascii="Arial" w:hAnsi="Arial" w:cs="Arial"/>
          <w:sz w:val="22"/>
          <w:szCs w:val="22"/>
          <w:lang w:val="en-US"/>
        </w:rPr>
        <w:t xml:space="preserve">µM). 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xml:space="preserve">, n=6, </w:t>
      </w:r>
      <w:r w:rsidRPr="008446C3">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control,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0.01, </w:t>
      </w:r>
      <w:r w:rsidRPr="003B7111">
        <w:rPr>
          <w:rFonts w:ascii="Arial" w:hAnsi="Arial" w:cs="Arial"/>
          <w:sz w:val="22"/>
          <w:szCs w:val="22"/>
          <w:vertAlign w:val="superscript"/>
          <w:lang w:val="en-US"/>
        </w:rPr>
        <w:t>###</w:t>
      </w:r>
      <w:r w:rsidRPr="003B7111">
        <w:rPr>
          <w:rFonts w:ascii="Arial" w:hAnsi="Arial" w:cs="Arial"/>
          <w:i/>
          <w:sz w:val="22"/>
          <w:szCs w:val="22"/>
          <w:lang w:val="en-US"/>
        </w:rPr>
        <w:t>p&lt;</w:t>
      </w:r>
      <w:r w:rsidRPr="003B7111">
        <w:rPr>
          <w:rFonts w:ascii="Arial" w:hAnsi="Arial" w:cs="Arial"/>
          <w:sz w:val="22"/>
          <w:szCs w:val="22"/>
          <w:lang w:val="en-US"/>
        </w:rPr>
        <w:t xml:space="preserve">0.001 compared to corresponding PQ treatment. </w:t>
      </w:r>
      <w:r>
        <w:rPr>
          <w:rFonts w:ascii="Arial" w:hAnsi="Arial" w:cs="Arial"/>
          <w:sz w:val="22"/>
          <w:szCs w:val="22"/>
          <w:lang w:val="en-US"/>
        </w:rPr>
        <w:t xml:space="preserve">(C) </w:t>
      </w:r>
      <w:r w:rsidRPr="003B7111">
        <w:rPr>
          <w:rFonts w:ascii="Arial" w:hAnsi="Arial" w:cs="Arial"/>
          <w:sz w:val="22"/>
          <w:szCs w:val="22"/>
          <w:lang w:val="en-US"/>
        </w:rPr>
        <w:t xml:space="preserve">Representative measurement of the </w:t>
      </w:r>
      <w:r>
        <w:rPr>
          <w:rFonts w:ascii="Arial" w:hAnsi="Arial" w:cs="Arial"/>
          <w:sz w:val="22"/>
          <w:szCs w:val="22"/>
          <w:lang w:val="en-US"/>
        </w:rPr>
        <w:t xml:space="preserve">normalized </w:t>
      </w:r>
      <w:r w:rsidRPr="003B7111">
        <w:rPr>
          <w:rFonts w:ascii="Arial" w:hAnsi="Arial" w:cs="Arial"/>
          <w:sz w:val="22"/>
          <w:szCs w:val="22"/>
          <w:lang w:val="en-US"/>
        </w:rPr>
        <w:t xml:space="preserve">oxygen consumption rate (OCR) in </w:t>
      </w:r>
      <w:r w:rsidRPr="00731B55">
        <w:rPr>
          <w:rFonts w:ascii="Arial" w:hAnsi="Arial" w:cs="Arial"/>
          <w:sz w:val="22"/>
          <w:szCs w:val="22"/>
          <w:lang w:val="en-US"/>
        </w:rPr>
        <w:t>HT22 cells following 6</w:t>
      </w:r>
      <w:r>
        <w:rPr>
          <w:rFonts w:ascii="Arial" w:hAnsi="Arial" w:cs="Arial"/>
          <w:sz w:val="22"/>
          <w:szCs w:val="22"/>
          <w:lang w:val="en-US"/>
        </w:rPr>
        <w:t xml:space="preserve"> </w:t>
      </w:r>
      <w:r w:rsidRPr="00731B55">
        <w:rPr>
          <w:rFonts w:ascii="Arial" w:hAnsi="Arial" w:cs="Arial"/>
          <w:sz w:val="22"/>
          <w:szCs w:val="22"/>
          <w:lang w:val="en-US"/>
        </w:rPr>
        <w:t>h treatment of CyPPA (10µM).</w:t>
      </w:r>
      <w:r w:rsidRPr="00C668C8">
        <w:rPr>
          <w:rFonts w:ascii="Arial" w:hAnsi="Arial" w:cs="Arial"/>
          <w:sz w:val="22"/>
          <w:szCs w:val="22"/>
          <w:lang w:val="en-US"/>
        </w:rPr>
        <w:t xml:space="preserve"> I</w:t>
      </w:r>
      <w:r w:rsidRPr="00731B55">
        <w:rPr>
          <w:rFonts w:ascii="Arial" w:hAnsi="Arial" w:cs="Arial"/>
          <w:sz w:val="22"/>
          <w:szCs w:val="22"/>
          <w:lang w:val="en-US"/>
        </w:rPr>
        <w:t>njections are indicated by the arrows, A; oligomycin (4µM), B; dinitrophenol (DNP) (50µM), C; rotenone (150nM) and antimycin A (1µM), D; 2-DG (50mM).</w:t>
      </w:r>
      <w:r>
        <w:rPr>
          <w:rFonts w:ascii="Arial" w:hAnsi="Arial" w:cs="Arial"/>
          <w:sz w:val="22"/>
          <w:szCs w:val="22"/>
          <w:lang w:val="en-US"/>
        </w:rPr>
        <w:t xml:space="preserve"> </w:t>
      </w:r>
      <w:r w:rsidRPr="003B7111">
        <w:rPr>
          <w:rFonts w:ascii="Arial" w:hAnsi="Arial" w:cs="Arial"/>
          <w:sz w:val="22"/>
          <w:szCs w:val="22"/>
          <w:lang w:val="en-US"/>
        </w:rPr>
        <w:t xml:space="preserve">Data are presented as </w:t>
      </w:r>
      <w:proofErr w:type="spellStart"/>
      <w:r w:rsidRPr="003B7111">
        <w:rPr>
          <w:rFonts w:ascii="Arial" w:hAnsi="Arial" w:cs="Arial"/>
          <w:sz w:val="22"/>
          <w:szCs w:val="22"/>
          <w:lang w:val="en-US"/>
        </w:rPr>
        <w:t>mean±SD</w:t>
      </w:r>
      <w:proofErr w:type="spellEnd"/>
      <w:r w:rsidRPr="003B7111">
        <w:rPr>
          <w:rFonts w:ascii="Arial" w:hAnsi="Arial" w:cs="Arial"/>
          <w:sz w:val="22"/>
          <w:szCs w:val="22"/>
          <w:lang w:val="en-US"/>
        </w:rPr>
        <w:t>, n=3-6 per condition</w:t>
      </w:r>
      <w:r>
        <w:rPr>
          <w:rFonts w:ascii="Arial" w:hAnsi="Arial" w:cs="Arial"/>
          <w:sz w:val="22"/>
          <w:szCs w:val="22"/>
          <w:lang w:val="en-US"/>
        </w:rPr>
        <w:t>.</w:t>
      </w:r>
    </w:p>
    <w:p w14:paraId="2AFE9F77" w14:textId="77777777" w:rsidR="00454C4F" w:rsidRDefault="00454C4F" w:rsidP="003B5191"/>
    <w:sectPr w:rsidR="00454C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5000205A"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4F"/>
    <w:rsid w:val="00132AAE"/>
    <w:rsid w:val="00193188"/>
    <w:rsid w:val="003214E3"/>
    <w:rsid w:val="003B5191"/>
    <w:rsid w:val="00454C4F"/>
    <w:rsid w:val="00857B04"/>
    <w:rsid w:val="00876672"/>
    <w:rsid w:val="00882348"/>
    <w:rsid w:val="00BA59B4"/>
    <w:rsid w:val="00C67A40"/>
    <w:rsid w:val="00EF0B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5CE6"/>
  <w15:docId w15:val="{88A55E48-4E29-834B-9469-E54671D9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C4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4C4F"/>
    <w:pPr>
      <w:spacing w:after="0" w:line="240" w:lineRule="auto"/>
    </w:pPr>
  </w:style>
  <w:style w:type="paragraph" w:customStyle="1" w:styleId="Default">
    <w:name w:val="Default"/>
    <w:rsid w:val="00454C4F"/>
    <w:pPr>
      <w:autoSpaceDE w:val="0"/>
      <w:autoSpaceDN w:val="0"/>
      <w:adjustRightInd w:val="0"/>
      <w:spacing w:after="0" w:line="240" w:lineRule="auto"/>
    </w:pPr>
    <w:rPr>
      <w:rFonts w:ascii="Times" w:hAnsi="Times" w:cs="Times"/>
      <w:color w:val="000000"/>
      <w:sz w:val="24"/>
      <w:szCs w:val="24"/>
    </w:rPr>
  </w:style>
  <w:style w:type="paragraph" w:styleId="BalloonText">
    <w:name w:val="Balloon Text"/>
    <w:basedOn w:val="Normal"/>
    <w:link w:val="BalloonTextChar"/>
    <w:uiPriority w:val="99"/>
    <w:semiHidden/>
    <w:unhideWhenUsed/>
    <w:rsid w:val="00454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C4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989</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 Krabbendam</dc:creator>
  <cp:lastModifiedBy>I.E. Krabbendam</cp:lastModifiedBy>
  <cp:revision>2</cp:revision>
  <dcterms:created xsi:type="dcterms:W3CDTF">2020-01-29T13:58:00Z</dcterms:created>
  <dcterms:modified xsi:type="dcterms:W3CDTF">2020-01-29T13:58:00Z</dcterms:modified>
</cp:coreProperties>
</file>