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E4EDB6" w14:textId="425D1067" w:rsidR="00A012DC" w:rsidRPr="00A012DC" w:rsidRDefault="00A012DC" w:rsidP="00F052F3">
      <w:pPr>
        <w:spacing w:after="240" w:line="360" w:lineRule="auto"/>
        <w:jc w:val="both"/>
        <w:rPr>
          <w:rFonts w:ascii="Arial" w:hAnsi="Arial" w:cs="Arial"/>
          <w:b/>
          <w:bCs/>
          <w:sz w:val="28"/>
        </w:rPr>
      </w:pPr>
      <w:r w:rsidRPr="00A012DC">
        <w:rPr>
          <w:rFonts w:ascii="Arial" w:hAnsi="Arial" w:cs="Arial"/>
          <w:b/>
          <w:bCs/>
          <w:sz w:val="28"/>
        </w:rPr>
        <w:t>Supplementary Figure Legends</w:t>
      </w:r>
    </w:p>
    <w:p w14:paraId="14EF9CC5" w14:textId="77777777" w:rsidR="00A012DC" w:rsidRPr="00A012DC" w:rsidRDefault="00A012DC" w:rsidP="00F052F3">
      <w:pPr>
        <w:spacing w:line="360" w:lineRule="auto"/>
        <w:jc w:val="both"/>
        <w:rPr>
          <w:rFonts w:ascii="Arial" w:eastAsia="黑体" w:hAnsi="Arial" w:cs="Arial"/>
          <w:b/>
          <w:bCs/>
          <w:color w:val="000000"/>
          <w:kern w:val="24"/>
          <w:sz w:val="22"/>
          <w:szCs w:val="22"/>
        </w:rPr>
      </w:pPr>
      <w:r w:rsidRPr="00A012DC">
        <w:rPr>
          <w:rFonts w:ascii="Arial" w:eastAsia="黑体" w:hAnsi="Arial" w:cs="Arial"/>
          <w:b/>
          <w:bCs/>
          <w:color w:val="000000"/>
          <w:kern w:val="24"/>
          <w:sz w:val="22"/>
          <w:szCs w:val="22"/>
        </w:rPr>
        <w:t xml:space="preserve">Supplementary Fig. S1 Relationship between the protein concentration and the number of particles secreted from the hCVPCs with (EV-H) and without hypoxia treatment (EV-N) based on the data from NTA and Pierce BCA Protein Assay. </w:t>
      </w:r>
      <w:r w:rsidRPr="00A012DC">
        <w:rPr>
          <w:rFonts w:ascii="Arial" w:eastAsia="黑体" w:hAnsi="Arial" w:cs="Arial"/>
          <w:color w:val="000000"/>
          <w:kern w:val="24"/>
          <w:sz w:val="22"/>
          <w:szCs w:val="22"/>
        </w:rPr>
        <w:t>n.s., no significant statistical difference. n = 5 each.</w:t>
      </w:r>
    </w:p>
    <w:p w14:paraId="37254780" w14:textId="77777777" w:rsidR="00A012DC" w:rsidRPr="00A012DC" w:rsidRDefault="00A012DC" w:rsidP="00F052F3">
      <w:pPr>
        <w:spacing w:before="240" w:line="360" w:lineRule="auto"/>
        <w:jc w:val="both"/>
        <w:rPr>
          <w:rFonts w:ascii="Arial" w:eastAsia="黑体" w:hAnsi="Arial" w:cs="Arial"/>
          <w:color w:val="000000"/>
          <w:kern w:val="24"/>
          <w:sz w:val="22"/>
          <w:szCs w:val="22"/>
        </w:rPr>
      </w:pPr>
      <w:r w:rsidRPr="00A012DC">
        <w:rPr>
          <w:rFonts w:ascii="Arial" w:eastAsia="黑体" w:hAnsi="Arial" w:cs="Arial"/>
          <w:b/>
          <w:bCs/>
          <w:color w:val="000000"/>
          <w:kern w:val="24"/>
          <w:sz w:val="22"/>
          <w:szCs w:val="22"/>
        </w:rPr>
        <w:t>Supplementary Fig. S2 The map of psiCHECK2-MALAT1 plasmid.</w:t>
      </w:r>
      <w:r w:rsidRPr="00A012DC">
        <w:rPr>
          <w:rFonts w:ascii="Arial" w:eastAsia="黑体" w:hAnsi="Arial" w:cs="Arial"/>
          <w:color w:val="000000"/>
          <w:kern w:val="24"/>
          <w:sz w:val="22"/>
          <w:szCs w:val="22"/>
        </w:rPr>
        <w:t xml:space="preserve"> The hMALAT1 cDNA full length (8779 </w:t>
      </w:r>
      <w:proofErr w:type="spellStart"/>
      <w:r w:rsidRPr="00A012DC">
        <w:rPr>
          <w:rFonts w:ascii="Arial" w:eastAsia="黑体" w:hAnsi="Arial" w:cs="Arial"/>
          <w:color w:val="000000"/>
          <w:kern w:val="24"/>
          <w:sz w:val="22"/>
          <w:szCs w:val="22"/>
        </w:rPr>
        <w:t>bp</w:t>
      </w:r>
      <w:proofErr w:type="spellEnd"/>
      <w:r w:rsidRPr="00A012DC">
        <w:rPr>
          <w:rFonts w:ascii="Arial" w:eastAsia="黑体" w:hAnsi="Arial" w:cs="Arial"/>
          <w:color w:val="000000"/>
          <w:kern w:val="24"/>
          <w:sz w:val="22"/>
          <w:szCs w:val="22"/>
        </w:rPr>
        <w:t>) was cloned into the psiCHECK2 (Promega, Madison, WI) from the pcDNA3.1(-)-MALAT1 plasmid (Shanghai Integrated Biotech Solutions Co., Ltd) between the XhoI and NotI restriction endonuclease sites.</w:t>
      </w:r>
    </w:p>
    <w:p w14:paraId="0B5FCF9A" w14:textId="2E4F5B3A" w:rsidR="00A012DC" w:rsidRPr="00A012DC" w:rsidRDefault="00A012DC" w:rsidP="00F052F3">
      <w:pPr>
        <w:spacing w:before="240" w:line="360" w:lineRule="auto"/>
        <w:jc w:val="both"/>
        <w:rPr>
          <w:rFonts w:ascii="Arial" w:eastAsia="黑体" w:hAnsi="Arial" w:cs="Arial"/>
          <w:color w:val="000000"/>
          <w:kern w:val="24"/>
          <w:sz w:val="22"/>
          <w:szCs w:val="22"/>
        </w:rPr>
      </w:pPr>
      <w:r w:rsidRPr="00A012DC">
        <w:rPr>
          <w:rFonts w:ascii="Arial" w:eastAsia="黑体" w:hAnsi="Arial" w:cs="Arial"/>
          <w:b/>
          <w:bCs/>
          <w:color w:val="000000"/>
          <w:kern w:val="24"/>
          <w:sz w:val="22"/>
          <w:szCs w:val="22"/>
        </w:rPr>
        <w:t>Supplementary Fig. S3 Characterization of human embryonic stem cells (hESCs)-derived cardiovascular progenitor cells (CVPCs)</w:t>
      </w:r>
      <w:r w:rsidR="0037247B">
        <w:rPr>
          <w:rFonts w:ascii="Arial" w:eastAsia="黑体" w:hAnsi="Arial" w:cs="Arial"/>
          <w:b/>
          <w:bCs/>
          <w:color w:val="000000"/>
          <w:kern w:val="24"/>
          <w:sz w:val="22"/>
          <w:szCs w:val="22"/>
        </w:rPr>
        <w:t xml:space="preserve">. </w:t>
      </w:r>
      <w:r w:rsidRPr="00A012DC">
        <w:rPr>
          <w:rFonts w:ascii="Arial" w:eastAsia="黑体" w:hAnsi="Arial" w:cs="Arial"/>
          <w:b/>
          <w:bCs/>
          <w:color w:val="000000"/>
          <w:kern w:val="24"/>
          <w:sz w:val="22"/>
          <w:szCs w:val="22"/>
        </w:rPr>
        <w:t>a</w:t>
      </w:r>
      <w:r w:rsidRPr="00A012DC">
        <w:rPr>
          <w:rFonts w:ascii="Arial" w:eastAsia="黑体" w:hAnsi="Arial" w:cs="Arial"/>
          <w:color w:val="000000"/>
          <w:kern w:val="24"/>
          <w:sz w:val="22"/>
          <w:szCs w:val="22"/>
        </w:rPr>
        <w:t xml:space="preserve"> Differentiated hESC-CVPCs that expressed SSEA1 were evaluated via </w:t>
      </w:r>
      <w:r w:rsidR="00453C9C" w:rsidRPr="00453C9C">
        <w:rPr>
          <w:rFonts w:ascii="Arial" w:eastAsia="黑体" w:hAnsi="Arial" w:cs="Arial" w:hint="eastAsia"/>
          <w:color w:val="000000"/>
          <w:kern w:val="24"/>
          <w:sz w:val="22"/>
          <w:szCs w:val="22"/>
        </w:rPr>
        <w:t>f</w:t>
      </w:r>
      <w:r w:rsidR="00453C9C" w:rsidRPr="00453C9C">
        <w:rPr>
          <w:rFonts w:ascii="Arial" w:eastAsia="黑体" w:hAnsi="Arial" w:cs="Arial"/>
          <w:color w:val="000000"/>
          <w:kern w:val="24"/>
          <w:sz w:val="22"/>
          <w:szCs w:val="22"/>
        </w:rPr>
        <w:t>l</w:t>
      </w:r>
      <w:r w:rsidRPr="00A012DC">
        <w:rPr>
          <w:rFonts w:ascii="Arial" w:eastAsia="黑体" w:hAnsi="Arial" w:cs="Arial"/>
          <w:color w:val="000000"/>
          <w:kern w:val="24"/>
          <w:sz w:val="22"/>
          <w:szCs w:val="22"/>
        </w:rPr>
        <w:t>ow cytometry</w:t>
      </w:r>
      <w:r w:rsidR="0042164F">
        <w:rPr>
          <w:rFonts w:ascii="Arial" w:eastAsia="黑体" w:hAnsi="Arial" w:cs="Arial"/>
          <w:color w:val="000000"/>
          <w:kern w:val="24"/>
          <w:sz w:val="22"/>
          <w:szCs w:val="22"/>
        </w:rPr>
        <w:t>.</w:t>
      </w:r>
      <w:r w:rsidR="00453C9C">
        <w:rPr>
          <w:rFonts w:ascii="Arial" w:eastAsia="黑体" w:hAnsi="Arial" w:cs="Arial"/>
          <w:color w:val="000000"/>
          <w:kern w:val="24"/>
          <w:sz w:val="22"/>
          <w:szCs w:val="22"/>
        </w:rPr>
        <w:t xml:space="preserve"> n = 5</w:t>
      </w:r>
      <w:r w:rsidRPr="00A012DC">
        <w:rPr>
          <w:rFonts w:ascii="Arial" w:eastAsia="黑体" w:hAnsi="Arial" w:cs="Arial"/>
          <w:color w:val="000000"/>
          <w:kern w:val="24"/>
          <w:sz w:val="22"/>
          <w:szCs w:val="22"/>
        </w:rPr>
        <w:t xml:space="preserve">; </w:t>
      </w:r>
      <w:r w:rsidRPr="00A012DC">
        <w:rPr>
          <w:rFonts w:ascii="Arial" w:eastAsia="黑体" w:hAnsi="Arial" w:cs="Arial"/>
          <w:b/>
          <w:bCs/>
          <w:color w:val="000000"/>
          <w:kern w:val="24"/>
          <w:sz w:val="22"/>
          <w:szCs w:val="22"/>
        </w:rPr>
        <w:t>b</w:t>
      </w:r>
      <w:r w:rsidRPr="00A012DC">
        <w:rPr>
          <w:rFonts w:ascii="Arial" w:eastAsia="黑体" w:hAnsi="Arial" w:cs="Arial"/>
          <w:color w:val="000000"/>
          <w:kern w:val="24"/>
          <w:sz w:val="22"/>
          <w:szCs w:val="22"/>
        </w:rPr>
        <w:t xml:space="preserve"> Differentiated hESC-CVPCs were immunostained for expression of the CVPC markers MESP1 (mesoderm posterior BHLH transcription factor 1), ISL1 (ISL LIM homeobox 1), MEF2C (myocyte enhancer factor 2C), GATA4 (GATA binding protein 4), and NKX2-5 (NK2 homeobox 5). </w:t>
      </w:r>
      <w:r w:rsidR="00223E05">
        <w:rPr>
          <w:rFonts w:ascii="Arial" w:eastAsia="黑体" w:hAnsi="Arial" w:cs="Arial"/>
          <w:color w:val="000000"/>
          <w:kern w:val="24"/>
          <w:sz w:val="22"/>
          <w:szCs w:val="22"/>
        </w:rPr>
        <w:t xml:space="preserve">Similar observations were obtained from more than 5 independent experiments. </w:t>
      </w:r>
      <w:r w:rsidRPr="00A012DC">
        <w:rPr>
          <w:rFonts w:ascii="Arial" w:eastAsia="黑体" w:hAnsi="Arial" w:cs="Arial"/>
          <w:color w:val="000000"/>
          <w:kern w:val="24"/>
          <w:sz w:val="22"/>
          <w:szCs w:val="22"/>
        </w:rPr>
        <w:t>Bar = 50 μm.</w:t>
      </w:r>
    </w:p>
    <w:p w14:paraId="6E09507C" w14:textId="63978C57" w:rsidR="00A012DC" w:rsidRPr="00A012DC" w:rsidRDefault="00A012DC" w:rsidP="00F052F3">
      <w:pPr>
        <w:spacing w:before="240" w:line="360" w:lineRule="auto"/>
        <w:jc w:val="both"/>
        <w:rPr>
          <w:rFonts w:ascii="Arial" w:eastAsia="黑体" w:hAnsi="Arial" w:cs="Arial"/>
          <w:color w:val="000000"/>
          <w:kern w:val="24"/>
          <w:sz w:val="22"/>
          <w:szCs w:val="22"/>
        </w:rPr>
      </w:pPr>
      <w:r w:rsidRPr="00A012DC">
        <w:rPr>
          <w:rFonts w:ascii="Arial" w:eastAsia="黑体" w:hAnsi="Arial" w:cs="Arial"/>
          <w:b/>
          <w:bCs/>
          <w:color w:val="000000"/>
          <w:kern w:val="24"/>
          <w:sz w:val="22"/>
          <w:szCs w:val="22"/>
        </w:rPr>
        <w:t>Supplementary Fi</w:t>
      </w:r>
      <w:bookmarkStart w:id="0" w:name="_GoBack"/>
      <w:bookmarkEnd w:id="0"/>
      <w:r w:rsidRPr="00A012DC">
        <w:rPr>
          <w:rFonts w:ascii="Arial" w:eastAsia="黑体" w:hAnsi="Arial" w:cs="Arial"/>
          <w:b/>
          <w:bCs/>
          <w:color w:val="000000"/>
          <w:kern w:val="24"/>
          <w:sz w:val="22"/>
          <w:szCs w:val="22"/>
        </w:rPr>
        <w:t>g. S4 Q-PCR analysis of the hMALAT1 level with and without hCVPC-EV treatment in the adult mouse cardiomyocytes (AMCMs).</w:t>
      </w:r>
      <w:r w:rsidRPr="00A012DC">
        <w:rPr>
          <w:rFonts w:ascii="Arial" w:eastAsia="黑体" w:hAnsi="Arial" w:cs="Arial"/>
          <w:color w:val="000000"/>
          <w:kern w:val="24"/>
          <w:sz w:val="22"/>
          <w:szCs w:val="22"/>
        </w:rPr>
        <w:t xml:space="preserve"> The high abundance of exogenous hMALAT1 was detected in the AMCMs treated with hCVPC-EVs (1 μg/mL) for 24 hours but not in the PBS control group. n = 5</w:t>
      </w:r>
      <w:r w:rsidR="00C50A04">
        <w:rPr>
          <w:rFonts w:ascii="Arial" w:eastAsia="黑体" w:hAnsi="Arial" w:cs="Arial"/>
          <w:color w:val="000000"/>
          <w:kern w:val="24"/>
          <w:sz w:val="22"/>
          <w:szCs w:val="22"/>
        </w:rPr>
        <w:t xml:space="preserve"> each</w:t>
      </w:r>
      <w:r w:rsidRPr="00A012DC">
        <w:rPr>
          <w:rFonts w:ascii="Arial" w:eastAsia="黑体" w:hAnsi="Arial" w:cs="Arial"/>
          <w:color w:val="000000"/>
          <w:kern w:val="24"/>
          <w:sz w:val="22"/>
          <w:szCs w:val="22"/>
        </w:rPr>
        <w:t>. **p &lt; 0.01.</w:t>
      </w:r>
    </w:p>
    <w:p w14:paraId="53CAB5B0" w14:textId="77777777" w:rsidR="00A012DC" w:rsidRPr="00A012DC" w:rsidRDefault="00A012DC" w:rsidP="00F052F3">
      <w:pPr>
        <w:spacing w:before="240" w:line="360" w:lineRule="auto"/>
        <w:jc w:val="both"/>
        <w:rPr>
          <w:rFonts w:ascii="Arial" w:eastAsia="黑体" w:hAnsi="Arial" w:cs="Arial"/>
          <w:color w:val="000000"/>
          <w:kern w:val="24"/>
          <w:sz w:val="22"/>
          <w:szCs w:val="22"/>
        </w:rPr>
      </w:pPr>
      <w:r w:rsidRPr="00A012DC">
        <w:rPr>
          <w:rFonts w:ascii="Arial" w:eastAsia="黑体" w:hAnsi="Arial" w:cs="Arial"/>
          <w:b/>
          <w:bCs/>
          <w:color w:val="000000"/>
          <w:kern w:val="24"/>
          <w:sz w:val="22"/>
          <w:szCs w:val="22"/>
        </w:rPr>
        <w:t xml:space="preserve">Supplementary Fig. S5 The binding site prediction of MALAT1 with miR-497 by </w:t>
      </w:r>
      <w:proofErr w:type="spellStart"/>
      <w:r w:rsidRPr="00A012DC">
        <w:rPr>
          <w:rFonts w:ascii="Arial" w:eastAsia="黑体" w:hAnsi="Arial" w:cs="Arial"/>
          <w:b/>
          <w:bCs/>
          <w:color w:val="000000"/>
          <w:kern w:val="24"/>
          <w:sz w:val="22"/>
          <w:szCs w:val="22"/>
        </w:rPr>
        <w:t>DianaTools</w:t>
      </w:r>
      <w:proofErr w:type="spellEnd"/>
      <w:r w:rsidRPr="00A012DC">
        <w:rPr>
          <w:rFonts w:ascii="Arial" w:eastAsia="黑体" w:hAnsi="Arial" w:cs="Arial"/>
          <w:b/>
          <w:bCs/>
          <w:color w:val="000000"/>
          <w:kern w:val="24"/>
          <w:sz w:val="22"/>
          <w:szCs w:val="22"/>
        </w:rPr>
        <w:t xml:space="preserve"> Website.</w:t>
      </w:r>
      <w:r w:rsidRPr="00A012DC">
        <w:t xml:space="preserve"> </w:t>
      </w:r>
      <w:r w:rsidRPr="00A012DC">
        <w:rPr>
          <w:rFonts w:ascii="Arial" w:eastAsia="黑体" w:hAnsi="Arial" w:cs="Arial"/>
          <w:color w:val="000000"/>
          <w:kern w:val="24"/>
          <w:sz w:val="22"/>
          <w:szCs w:val="22"/>
        </w:rPr>
        <w:t>Six binding sites of MALAT1 with miR-497 were predicted (</w:t>
      </w:r>
      <w:hyperlink r:id="rId6" w:history="1">
        <w:r w:rsidRPr="00A012DC">
          <w:rPr>
            <w:rFonts w:ascii="Arial" w:eastAsia="黑体" w:hAnsi="Arial" w:cs="Arial"/>
            <w:color w:val="000000"/>
            <w:kern w:val="24"/>
            <w:sz w:val="22"/>
            <w:szCs w:val="22"/>
          </w:rPr>
          <w:t>http://carolina.imis.athena-innovation.gr/diana_tools/web/index.php</w:t>
        </w:r>
      </w:hyperlink>
      <w:r w:rsidRPr="00A012DC">
        <w:rPr>
          <w:rFonts w:ascii="Arial" w:eastAsia="黑体" w:hAnsi="Arial" w:cs="Arial"/>
          <w:color w:val="000000"/>
          <w:kern w:val="24"/>
          <w:sz w:val="22"/>
          <w:szCs w:val="22"/>
        </w:rPr>
        <w:t>).</w:t>
      </w:r>
    </w:p>
    <w:p w14:paraId="131ED450" w14:textId="19B60328" w:rsidR="00A012DC" w:rsidRPr="00A012DC" w:rsidRDefault="00A012DC" w:rsidP="00F052F3">
      <w:pPr>
        <w:spacing w:before="240" w:line="360" w:lineRule="auto"/>
        <w:jc w:val="both"/>
        <w:rPr>
          <w:rFonts w:ascii="Arial" w:eastAsia="黑体" w:hAnsi="Arial" w:cs="Arial"/>
          <w:color w:val="000000"/>
          <w:kern w:val="24"/>
          <w:sz w:val="22"/>
          <w:szCs w:val="22"/>
        </w:rPr>
      </w:pPr>
      <w:r w:rsidRPr="00A012DC">
        <w:rPr>
          <w:rFonts w:ascii="Arial" w:eastAsia="黑体" w:hAnsi="Arial" w:cs="Arial"/>
          <w:b/>
          <w:bCs/>
          <w:color w:val="000000"/>
          <w:kern w:val="24"/>
          <w:sz w:val="22"/>
          <w:szCs w:val="22"/>
        </w:rPr>
        <w:t>Supplementary Fig. S6 Q-PCR analysis of the miR-497 level in the mouse myocardium and the NRCMs.</w:t>
      </w:r>
      <w:r w:rsidRPr="00A012DC">
        <w:t xml:space="preserve"> </w:t>
      </w:r>
      <w:r w:rsidRPr="00A012DC">
        <w:rPr>
          <w:rFonts w:ascii="Arial" w:eastAsia="黑体" w:hAnsi="Arial" w:cs="Arial"/>
          <w:color w:val="000000"/>
          <w:kern w:val="24"/>
          <w:sz w:val="22"/>
          <w:szCs w:val="22"/>
        </w:rPr>
        <w:t xml:space="preserve">The expression of miR-497 was detected in the mouse </w:t>
      </w:r>
      <w:r w:rsidRPr="00A012DC">
        <w:rPr>
          <w:rFonts w:ascii="Arial" w:eastAsia="黑体" w:hAnsi="Arial" w:cs="Arial"/>
          <w:color w:val="000000"/>
          <w:kern w:val="24"/>
          <w:sz w:val="22"/>
          <w:szCs w:val="22"/>
        </w:rPr>
        <w:lastRenderedPageBreak/>
        <w:t>ventricles of Sham, MI, and hCVPC-EV groups (</w:t>
      </w:r>
      <w:r w:rsidRPr="00A012DC">
        <w:rPr>
          <w:rFonts w:ascii="Arial" w:eastAsia="黑体" w:hAnsi="Arial" w:cs="Arial"/>
          <w:b/>
          <w:bCs/>
          <w:color w:val="000000"/>
          <w:kern w:val="24"/>
          <w:sz w:val="22"/>
          <w:szCs w:val="22"/>
        </w:rPr>
        <w:t>a</w:t>
      </w:r>
      <w:r w:rsidR="0037247B">
        <w:rPr>
          <w:rFonts w:ascii="Arial" w:eastAsia="黑体" w:hAnsi="Arial" w:cs="Arial"/>
          <w:color w:val="000000"/>
          <w:kern w:val="24"/>
          <w:sz w:val="22"/>
          <w:szCs w:val="22"/>
        </w:rPr>
        <w:t>)</w:t>
      </w:r>
      <w:r w:rsidRPr="00A012DC">
        <w:rPr>
          <w:rFonts w:ascii="Arial" w:eastAsia="黑体" w:hAnsi="Arial" w:cs="Arial"/>
          <w:color w:val="000000"/>
          <w:kern w:val="24"/>
          <w:sz w:val="22"/>
          <w:szCs w:val="22"/>
        </w:rPr>
        <w:t xml:space="preserve"> and in the NRCMs</w:t>
      </w:r>
      <w:r w:rsidR="00453C9C">
        <w:rPr>
          <w:rFonts w:ascii="Arial" w:eastAsia="黑体" w:hAnsi="Arial" w:cs="Arial"/>
          <w:color w:val="000000"/>
          <w:kern w:val="24"/>
          <w:sz w:val="22"/>
          <w:szCs w:val="22"/>
        </w:rPr>
        <w:t xml:space="preserve"> </w:t>
      </w:r>
      <w:r w:rsidRPr="00A012DC">
        <w:rPr>
          <w:rFonts w:ascii="Arial" w:eastAsia="黑体" w:hAnsi="Arial" w:cs="Arial"/>
          <w:color w:val="000000"/>
          <w:kern w:val="24"/>
          <w:sz w:val="22"/>
          <w:szCs w:val="22"/>
        </w:rPr>
        <w:t>(</w:t>
      </w:r>
      <w:r w:rsidRPr="00A012DC">
        <w:rPr>
          <w:rFonts w:ascii="Arial" w:eastAsia="黑体" w:hAnsi="Arial" w:cs="Arial"/>
          <w:b/>
          <w:bCs/>
          <w:color w:val="000000"/>
          <w:kern w:val="24"/>
          <w:sz w:val="22"/>
          <w:szCs w:val="22"/>
        </w:rPr>
        <w:t>b</w:t>
      </w:r>
      <w:r w:rsidRPr="00A012DC">
        <w:rPr>
          <w:rFonts w:ascii="Arial" w:eastAsia="黑体" w:hAnsi="Arial" w:cs="Arial"/>
          <w:color w:val="000000"/>
          <w:kern w:val="24"/>
          <w:sz w:val="22"/>
          <w:szCs w:val="22"/>
        </w:rPr>
        <w:t xml:space="preserve">). </w:t>
      </w:r>
      <w:r w:rsidR="0037247B">
        <w:rPr>
          <w:rFonts w:ascii="Arial" w:eastAsia="黑体" w:hAnsi="Arial" w:cs="Arial"/>
          <w:color w:val="000000"/>
          <w:kern w:val="24"/>
          <w:sz w:val="22"/>
          <w:szCs w:val="22"/>
        </w:rPr>
        <w:t xml:space="preserve">The experimental number is indicated on the figures. </w:t>
      </w:r>
      <w:r w:rsidRPr="00A012DC">
        <w:rPr>
          <w:rFonts w:ascii="Arial" w:eastAsia="黑体" w:hAnsi="Arial" w:cs="Arial"/>
          <w:color w:val="000000"/>
          <w:kern w:val="24"/>
          <w:sz w:val="22"/>
          <w:szCs w:val="22"/>
        </w:rPr>
        <w:t xml:space="preserve">n.s., no significant statistical difference. </w:t>
      </w:r>
    </w:p>
    <w:sectPr w:rsidR="00A012DC" w:rsidRPr="00A012D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0D62D" w14:textId="77777777" w:rsidR="002A2E51" w:rsidRDefault="002A2E51" w:rsidP="00A012DC">
      <w:r>
        <w:separator/>
      </w:r>
    </w:p>
  </w:endnote>
  <w:endnote w:type="continuationSeparator" w:id="0">
    <w:p w14:paraId="15BD0C59" w14:textId="77777777" w:rsidR="002A2E51" w:rsidRDefault="002A2E51" w:rsidP="00A0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BDDFE4" w14:textId="77777777" w:rsidR="002A2E51" w:rsidRDefault="002A2E51" w:rsidP="00A012DC">
      <w:r>
        <w:separator/>
      </w:r>
    </w:p>
  </w:footnote>
  <w:footnote w:type="continuationSeparator" w:id="0">
    <w:p w14:paraId="2503BC6C" w14:textId="77777777" w:rsidR="002A2E51" w:rsidRDefault="002A2E51" w:rsidP="00A01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2B8"/>
    <w:rsid w:val="0003792D"/>
    <w:rsid w:val="001E6288"/>
    <w:rsid w:val="00223E05"/>
    <w:rsid w:val="002A2E51"/>
    <w:rsid w:val="002D6EFA"/>
    <w:rsid w:val="0037247B"/>
    <w:rsid w:val="0042164F"/>
    <w:rsid w:val="00453C9C"/>
    <w:rsid w:val="00560467"/>
    <w:rsid w:val="005D055E"/>
    <w:rsid w:val="008935E3"/>
    <w:rsid w:val="008C22B8"/>
    <w:rsid w:val="00A012DC"/>
    <w:rsid w:val="00AF0209"/>
    <w:rsid w:val="00B62A08"/>
    <w:rsid w:val="00C50A04"/>
    <w:rsid w:val="00ED1DE2"/>
    <w:rsid w:val="00F05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8A2F4"/>
  <w15:chartTrackingRefBased/>
  <w15:docId w15:val="{63DAB2CD-23A5-4C4C-B513-2AD1717AA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012DC"/>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12DC"/>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A012DC"/>
    <w:rPr>
      <w:sz w:val="18"/>
      <w:szCs w:val="18"/>
    </w:rPr>
  </w:style>
  <w:style w:type="paragraph" w:styleId="a5">
    <w:name w:val="footer"/>
    <w:basedOn w:val="a"/>
    <w:link w:val="a6"/>
    <w:uiPriority w:val="99"/>
    <w:unhideWhenUsed/>
    <w:rsid w:val="00A012DC"/>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A012DC"/>
    <w:rPr>
      <w:sz w:val="18"/>
      <w:szCs w:val="18"/>
    </w:rPr>
  </w:style>
  <w:style w:type="paragraph" w:styleId="a7">
    <w:name w:val="Normal (Web)"/>
    <w:basedOn w:val="a"/>
    <w:uiPriority w:val="99"/>
    <w:unhideWhenUsed/>
    <w:rsid w:val="00A012DC"/>
    <w:pPr>
      <w:spacing w:before="100" w:beforeAutospacing="1" w:after="100" w:afterAutospacing="1"/>
    </w:pPr>
  </w:style>
  <w:style w:type="character" w:styleId="a8">
    <w:name w:val="Hyperlink"/>
    <w:basedOn w:val="a0"/>
    <w:uiPriority w:val="99"/>
    <w:unhideWhenUsed/>
    <w:rsid w:val="00A012DC"/>
    <w:rPr>
      <w:color w:val="0563C1" w:themeColor="hyperlink"/>
      <w:u w:val="single"/>
    </w:rPr>
  </w:style>
  <w:style w:type="character" w:styleId="a9">
    <w:name w:val="Unresolved Mention"/>
    <w:basedOn w:val="a0"/>
    <w:uiPriority w:val="99"/>
    <w:semiHidden/>
    <w:unhideWhenUsed/>
    <w:rsid w:val="00A012DC"/>
    <w:rPr>
      <w:color w:val="605E5C"/>
      <w:shd w:val="clear" w:color="auto" w:fill="E1DFDD"/>
    </w:rPr>
  </w:style>
  <w:style w:type="paragraph" w:styleId="aa">
    <w:name w:val="Balloon Text"/>
    <w:basedOn w:val="a"/>
    <w:link w:val="ab"/>
    <w:uiPriority w:val="99"/>
    <w:semiHidden/>
    <w:unhideWhenUsed/>
    <w:rsid w:val="00453C9C"/>
    <w:rPr>
      <w:sz w:val="18"/>
      <w:szCs w:val="18"/>
    </w:rPr>
  </w:style>
  <w:style w:type="character" w:customStyle="1" w:styleId="ab">
    <w:name w:val="批注框文本 字符"/>
    <w:basedOn w:val="a0"/>
    <w:link w:val="aa"/>
    <w:uiPriority w:val="99"/>
    <w:semiHidden/>
    <w:rsid w:val="00453C9C"/>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93920">
      <w:bodyDiv w:val="1"/>
      <w:marLeft w:val="0"/>
      <w:marRight w:val="0"/>
      <w:marTop w:val="0"/>
      <w:marBottom w:val="0"/>
      <w:divBdr>
        <w:top w:val="none" w:sz="0" w:space="0" w:color="auto"/>
        <w:left w:val="none" w:sz="0" w:space="0" w:color="auto"/>
        <w:bottom w:val="none" w:sz="0" w:space="0" w:color="auto"/>
        <w:right w:val="none" w:sz="0" w:space="0" w:color="auto"/>
      </w:divBdr>
    </w:div>
    <w:div w:id="720397896">
      <w:bodyDiv w:val="1"/>
      <w:marLeft w:val="0"/>
      <w:marRight w:val="0"/>
      <w:marTop w:val="0"/>
      <w:marBottom w:val="0"/>
      <w:divBdr>
        <w:top w:val="none" w:sz="0" w:space="0" w:color="auto"/>
        <w:left w:val="none" w:sz="0" w:space="0" w:color="auto"/>
        <w:bottom w:val="none" w:sz="0" w:space="0" w:color="auto"/>
        <w:right w:val="none" w:sz="0" w:space="0" w:color="auto"/>
      </w:divBdr>
    </w:div>
    <w:div w:id="1097291708">
      <w:bodyDiv w:val="1"/>
      <w:marLeft w:val="0"/>
      <w:marRight w:val="0"/>
      <w:marTop w:val="0"/>
      <w:marBottom w:val="0"/>
      <w:divBdr>
        <w:top w:val="none" w:sz="0" w:space="0" w:color="auto"/>
        <w:left w:val="none" w:sz="0" w:space="0" w:color="auto"/>
        <w:bottom w:val="none" w:sz="0" w:space="0" w:color="auto"/>
        <w:right w:val="none" w:sz="0" w:space="0" w:color="auto"/>
      </w:divBdr>
    </w:div>
    <w:div w:id="1440563369">
      <w:bodyDiv w:val="1"/>
      <w:marLeft w:val="0"/>
      <w:marRight w:val="0"/>
      <w:marTop w:val="0"/>
      <w:marBottom w:val="0"/>
      <w:divBdr>
        <w:top w:val="none" w:sz="0" w:space="0" w:color="auto"/>
        <w:left w:val="none" w:sz="0" w:space="0" w:color="auto"/>
        <w:bottom w:val="none" w:sz="0" w:space="0" w:color="auto"/>
        <w:right w:val="none" w:sz="0" w:space="0" w:color="auto"/>
      </w:divBdr>
    </w:div>
    <w:div w:id="1687050392">
      <w:bodyDiv w:val="1"/>
      <w:marLeft w:val="0"/>
      <w:marRight w:val="0"/>
      <w:marTop w:val="0"/>
      <w:marBottom w:val="0"/>
      <w:divBdr>
        <w:top w:val="none" w:sz="0" w:space="0" w:color="auto"/>
        <w:left w:val="none" w:sz="0" w:space="0" w:color="auto"/>
        <w:bottom w:val="none" w:sz="0" w:space="0" w:color="auto"/>
        <w:right w:val="none" w:sz="0" w:space="0" w:color="auto"/>
      </w:divBdr>
    </w:div>
    <w:div w:id="193948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arolina.imis.athena-innovation.gr/diana_tools/web/index.ph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Johnny</dc:creator>
  <cp:keywords/>
  <dc:description/>
  <cp:lastModifiedBy>Huangtian Yang</cp:lastModifiedBy>
  <cp:revision>4</cp:revision>
  <dcterms:created xsi:type="dcterms:W3CDTF">2020-02-13T07:06:00Z</dcterms:created>
  <dcterms:modified xsi:type="dcterms:W3CDTF">2020-02-13T07:28:00Z</dcterms:modified>
</cp:coreProperties>
</file>