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DFB" w:rsidRDefault="004C0DFB" w:rsidP="0074227D">
      <w:pPr>
        <w:pStyle w:val="Sinespaciado"/>
        <w:jc w:val="center"/>
        <w:rPr>
          <w:rFonts w:eastAsia="MS Mincho"/>
          <w:color w:val="000000" w:themeColor="text1"/>
          <w:lang w:val="en-US"/>
        </w:rPr>
      </w:pPr>
      <w:r>
        <w:rPr>
          <w:rFonts w:eastAsia="MS Mincho"/>
          <w:color w:val="000000" w:themeColor="text1"/>
          <w:lang w:val="en-US"/>
        </w:rPr>
        <w:t>SUPPLEMENTARY DATA</w:t>
      </w:r>
    </w:p>
    <w:p w:rsidR="00A67342" w:rsidRPr="00BB0F6A" w:rsidRDefault="00A67342" w:rsidP="00A67342">
      <w:pPr>
        <w:jc w:val="center"/>
        <w:rPr>
          <w:rFonts w:ascii="Arial" w:hAnsi="Arial" w:cs="Arial"/>
          <w:b/>
          <w:color w:val="000000"/>
          <w:sz w:val="24"/>
          <w:szCs w:val="24"/>
          <w:lang w:val="en-US"/>
        </w:rPr>
      </w:pPr>
      <w:r w:rsidRPr="00BB0F6A">
        <w:rPr>
          <w:rStyle w:val="il"/>
          <w:rFonts w:ascii="Arial" w:hAnsi="Arial" w:cs="Arial"/>
          <w:b/>
          <w:color w:val="202124"/>
          <w:sz w:val="24"/>
          <w:szCs w:val="24"/>
          <w:shd w:val="clear" w:color="auto" w:fill="FFFFFF"/>
          <w:lang w:val="en-US"/>
        </w:rPr>
        <w:t>CDDIS</w:t>
      </w:r>
      <w:r w:rsidR="005D018E" w:rsidRPr="00BB0F6A">
        <w:rPr>
          <w:rFonts w:ascii="Arial" w:hAnsi="Arial" w:cs="Arial"/>
          <w:b/>
          <w:color w:val="202124"/>
          <w:sz w:val="24"/>
          <w:szCs w:val="24"/>
          <w:shd w:val="clear" w:color="auto" w:fill="FFFFFF"/>
          <w:lang w:val="en-US"/>
        </w:rPr>
        <w:t>-19-4234RR</w:t>
      </w:r>
      <w:r w:rsidR="00BB0F6A" w:rsidRPr="00BB0F6A">
        <w:rPr>
          <w:rFonts w:ascii="Arial" w:hAnsi="Arial" w:cs="Arial"/>
          <w:b/>
          <w:color w:val="202124"/>
          <w:sz w:val="24"/>
          <w:szCs w:val="24"/>
          <w:shd w:val="clear" w:color="auto" w:fill="FFFFFF"/>
          <w:lang w:val="en-US"/>
        </w:rPr>
        <w:t>R</w:t>
      </w:r>
      <w:bookmarkStart w:id="0" w:name="_GoBack"/>
      <w:bookmarkEnd w:id="0"/>
    </w:p>
    <w:p w:rsidR="004C0DFB" w:rsidRPr="00A67342" w:rsidRDefault="004C0DFB" w:rsidP="0074227D">
      <w:pPr>
        <w:pStyle w:val="Sinespaciado"/>
        <w:jc w:val="center"/>
        <w:rPr>
          <w:rFonts w:eastAsia="MS Mincho"/>
          <w:color w:val="000000" w:themeColor="text1"/>
          <w:lang w:val="en-US"/>
        </w:rPr>
      </w:pPr>
    </w:p>
    <w:p w:rsidR="00DD7804" w:rsidRPr="00855254" w:rsidRDefault="005A0B5D" w:rsidP="0074227D">
      <w:pPr>
        <w:pStyle w:val="Sinespaciado"/>
        <w:jc w:val="center"/>
        <w:rPr>
          <w:rFonts w:eastAsia="MS Mincho"/>
          <w:color w:val="000000" w:themeColor="text1"/>
          <w:lang w:val="en-US"/>
        </w:rPr>
      </w:pPr>
      <w:r w:rsidRPr="00855254">
        <w:rPr>
          <w:rFonts w:eastAsia="MS Mincho"/>
          <w:color w:val="000000" w:themeColor="text1"/>
          <w:lang w:val="en-US"/>
        </w:rPr>
        <w:t xml:space="preserve">Lipid-encapsulated siRNA for hepatocyte-directed </w:t>
      </w:r>
    </w:p>
    <w:p w:rsidR="00794C49" w:rsidRPr="00855254" w:rsidRDefault="005A0B5D" w:rsidP="0074227D">
      <w:pPr>
        <w:pStyle w:val="Sinespaciado"/>
        <w:jc w:val="center"/>
        <w:rPr>
          <w:b w:val="0"/>
          <w:color w:val="000000" w:themeColor="text1"/>
          <w:lang w:val="en-US"/>
        </w:rPr>
      </w:pPr>
      <w:r w:rsidRPr="00855254">
        <w:rPr>
          <w:rFonts w:eastAsia="MS Mincho"/>
          <w:color w:val="000000" w:themeColor="text1"/>
          <w:lang w:val="en-US"/>
        </w:rPr>
        <w:t>treatment of</w:t>
      </w:r>
      <w:r w:rsidR="00B575DF">
        <w:rPr>
          <w:rFonts w:eastAsia="MS Mincho"/>
          <w:color w:val="000000" w:themeColor="text1"/>
          <w:lang w:val="en-US"/>
        </w:rPr>
        <w:t xml:space="preserve"> advanced</w:t>
      </w:r>
      <w:r w:rsidRPr="00855254">
        <w:rPr>
          <w:rFonts w:eastAsia="MS Mincho"/>
          <w:color w:val="000000" w:themeColor="text1"/>
          <w:lang w:val="en-US"/>
        </w:rPr>
        <w:t xml:space="preserve"> </w:t>
      </w:r>
      <w:r w:rsidR="00DD7804" w:rsidRPr="00855254">
        <w:rPr>
          <w:rFonts w:eastAsia="MS Mincho"/>
          <w:color w:val="000000" w:themeColor="text1"/>
          <w:lang w:val="en-US"/>
        </w:rPr>
        <w:t xml:space="preserve">liver </w:t>
      </w:r>
      <w:r w:rsidR="00B575DF">
        <w:rPr>
          <w:rFonts w:eastAsia="MS Mincho"/>
          <w:color w:val="000000" w:themeColor="text1"/>
          <w:lang w:val="en-US"/>
        </w:rPr>
        <w:t>disease</w:t>
      </w:r>
    </w:p>
    <w:p w:rsidR="00E868DA" w:rsidRPr="00855254" w:rsidRDefault="00E868DA" w:rsidP="00E868DA">
      <w:pPr>
        <w:spacing w:after="0" w:line="360" w:lineRule="auto"/>
        <w:jc w:val="center"/>
        <w:rPr>
          <w:rFonts w:ascii="Arial" w:eastAsia="Calibri" w:hAnsi="Arial" w:cs="Arial"/>
          <w:color w:val="000000"/>
          <w:sz w:val="24"/>
          <w:szCs w:val="24"/>
          <w:vertAlign w:val="subscript"/>
          <w:lang w:val="en-US"/>
        </w:rPr>
      </w:pPr>
      <w:r w:rsidRPr="00855254">
        <w:rPr>
          <w:rFonts w:ascii="Arial" w:eastAsia="Calibri" w:hAnsi="Arial" w:cs="Arial"/>
          <w:color w:val="000000"/>
          <w:sz w:val="24"/>
          <w:szCs w:val="24"/>
          <w:lang w:val="en-US"/>
        </w:rPr>
        <w:t>Marius Maximilian Woitok</w:t>
      </w:r>
      <w:r w:rsidRPr="00855254">
        <w:rPr>
          <w:rFonts w:ascii="Arial" w:eastAsia="Calibri" w:hAnsi="Arial" w:cs="Arial"/>
          <w:color w:val="000000"/>
          <w:sz w:val="24"/>
          <w:szCs w:val="24"/>
          <w:vertAlign w:val="superscript"/>
          <w:lang w:val="en-US"/>
        </w:rPr>
        <w:t>1*</w:t>
      </w:r>
      <w:r w:rsidRPr="00855254">
        <w:rPr>
          <w:rFonts w:ascii="Arial" w:eastAsia="Calibri" w:hAnsi="Arial" w:cs="Arial"/>
          <w:color w:val="000000"/>
          <w:sz w:val="24"/>
          <w:szCs w:val="24"/>
          <w:lang w:val="en-US"/>
        </w:rPr>
        <w:t>, Miguel Eugenio Zoubek</w:t>
      </w:r>
      <w:r w:rsidRPr="00855254">
        <w:rPr>
          <w:rFonts w:ascii="Arial" w:eastAsia="Calibri" w:hAnsi="Arial" w:cs="Arial"/>
          <w:color w:val="000000"/>
          <w:sz w:val="24"/>
          <w:szCs w:val="24"/>
          <w:vertAlign w:val="superscript"/>
          <w:lang w:val="en-US"/>
        </w:rPr>
        <w:t>1,3*</w:t>
      </w:r>
      <w:r w:rsidRPr="00855254">
        <w:rPr>
          <w:rFonts w:ascii="Arial" w:eastAsia="Calibri" w:hAnsi="Arial" w:cs="Arial"/>
          <w:color w:val="000000"/>
          <w:sz w:val="24"/>
          <w:szCs w:val="24"/>
          <w:lang w:val="en-US"/>
        </w:rPr>
        <w:t>, Dennis Doleschel</w:t>
      </w:r>
      <w:r w:rsidRPr="00855254">
        <w:rPr>
          <w:rFonts w:ascii="Arial" w:eastAsia="Calibri" w:hAnsi="Arial" w:cs="Arial"/>
          <w:color w:val="000000"/>
          <w:sz w:val="24"/>
          <w:szCs w:val="24"/>
          <w:vertAlign w:val="superscript"/>
          <w:lang w:val="en-US"/>
        </w:rPr>
        <w:t>2</w:t>
      </w:r>
      <w:r w:rsidRPr="00855254">
        <w:rPr>
          <w:rFonts w:ascii="Arial" w:eastAsia="Calibri" w:hAnsi="Arial" w:cs="Arial"/>
          <w:color w:val="000000"/>
          <w:sz w:val="24"/>
          <w:szCs w:val="24"/>
          <w:lang w:val="en-US"/>
        </w:rPr>
        <w:t xml:space="preserve">, </w:t>
      </w:r>
      <w:r w:rsidR="00894765" w:rsidRPr="00855254">
        <w:rPr>
          <w:rFonts w:ascii="Arial" w:eastAsia="Calibri" w:hAnsi="Arial" w:cs="Arial"/>
          <w:color w:val="000000"/>
          <w:sz w:val="24"/>
          <w:szCs w:val="24"/>
          <w:lang w:val="en-US"/>
        </w:rPr>
        <w:t>Matthias Bartneck</w:t>
      </w:r>
      <w:r w:rsidR="00894765" w:rsidRPr="00855254">
        <w:rPr>
          <w:rFonts w:ascii="Arial" w:eastAsia="Calibri" w:hAnsi="Arial" w:cs="Arial"/>
          <w:color w:val="000000"/>
          <w:sz w:val="24"/>
          <w:szCs w:val="24"/>
          <w:vertAlign w:val="superscript"/>
          <w:lang w:val="en-US"/>
        </w:rPr>
        <w:t>1</w:t>
      </w:r>
      <w:r w:rsidR="00894765" w:rsidRPr="00855254">
        <w:rPr>
          <w:rFonts w:ascii="Arial" w:eastAsia="Calibri" w:hAnsi="Arial" w:cs="Arial"/>
          <w:color w:val="000000"/>
          <w:sz w:val="24"/>
          <w:szCs w:val="24"/>
          <w:lang w:val="en-US"/>
        </w:rPr>
        <w:t xml:space="preserve">, </w:t>
      </w:r>
      <w:r w:rsidRPr="00855254">
        <w:rPr>
          <w:rFonts w:ascii="Arial" w:eastAsia="Calibri" w:hAnsi="Arial" w:cs="Arial"/>
          <w:color w:val="000000"/>
          <w:sz w:val="24"/>
          <w:szCs w:val="24"/>
          <w:lang w:val="en-US"/>
        </w:rPr>
        <w:t>Mohamed Ramadan Mohamed</w:t>
      </w:r>
      <w:r w:rsidRPr="00855254">
        <w:rPr>
          <w:rFonts w:ascii="Arial" w:eastAsia="Calibri" w:hAnsi="Arial" w:cs="Arial"/>
          <w:color w:val="000000"/>
          <w:sz w:val="24"/>
          <w:szCs w:val="24"/>
          <w:vertAlign w:val="superscript"/>
          <w:lang w:val="en-US"/>
        </w:rPr>
        <w:t>1</w:t>
      </w:r>
      <w:r w:rsidRPr="00855254">
        <w:rPr>
          <w:rFonts w:ascii="Arial" w:eastAsia="Calibri" w:hAnsi="Arial" w:cs="Arial"/>
          <w:color w:val="000000"/>
          <w:sz w:val="24"/>
          <w:szCs w:val="24"/>
          <w:lang w:val="en-US"/>
        </w:rPr>
        <w:t>,</w:t>
      </w:r>
      <w:r w:rsidRPr="00855254">
        <w:rPr>
          <w:rFonts w:ascii="Arial" w:eastAsia="Calibri" w:hAnsi="Arial" w:cs="Arial"/>
          <w:color w:val="000000"/>
          <w:sz w:val="24"/>
          <w:szCs w:val="24"/>
          <w:vertAlign w:val="superscript"/>
          <w:lang w:val="en-US"/>
        </w:rPr>
        <w:t xml:space="preserve"> </w:t>
      </w:r>
      <w:r w:rsidRPr="00855254">
        <w:rPr>
          <w:rFonts w:ascii="Arial" w:eastAsia="Calibri" w:hAnsi="Arial" w:cs="Arial"/>
          <w:color w:val="000000"/>
          <w:sz w:val="24"/>
          <w:szCs w:val="24"/>
          <w:lang w:val="en-US"/>
        </w:rPr>
        <w:t>Fabian Kießling</w:t>
      </w:r>
      <w:r w:rsidRPr="00855254">
        <w:rPr>
          <w:rFonts w:ascii="Arial" w:eastAsia="Calibri" w:hAnsi="Arial" w:cs="Arial"/>
          <w:color w:val="000000"/>
          <w:sz w:val="24"/>
          <w:szCs w:val="24"/>
          <w:vertAlign w:val="superscript"/>
          <w:lang w:val="en-US"/>
        </w:rPr>
        <w:t>2</w:t>
      </w:r>
      <w:r w:rsidRPr="00855254">
        <w:rPr>
          <w:rFonts w:ascii="Arial" w:eastAsia="Calibri" w:hAnsi="Arial" w:cs="Arial"/>
          <w:color w:val="000000"/>
          <w:sz w:val="24"/>
          <w:szCs w:val="24"/>
          <w:lang w:val="en-US"/>
        </w:rPr>
        <w:t>, Wiltrud Lederle</w:t>
      </w:r>
      <w:r w:rsidRPr="00855254">
        <w:rPr>
          <w:rFonts w:ascii="Arial" w:eastAsia="Calibri" w:hAnsi="Arial" w:cs="Arial"/>
          <w:color w:val="000000"/>
          <w:sz w:val="24"/>
          <w:szCs w:val="24"/>
          <w:vertAlign w:val="superscript"/>
          <w:lang w:val="en-US"/>
        </w:rPr>
        <w:t>2</w:t>
      </w:r>
      <w:r w:rsidRPr="00855254">
        <w:rPr>
          <w:rFonts w:ascii="Arial" w:eastAsia="Calibri" w:hAnsi="Arial" w:cs="Arial"/>
          <w:color w:val="000000"/>
          <w:sz w:val="24"/>
          <w:szCs w:val="24"/>
          <w:lang w:val="en-US"/>
        </w:rPr>
        <w:t>, Christian Trautwein</w:t>
      </w:r>
      <w:r w:rsidRPr="00855254">
        <w:rPr>
          <w:rFonts w:ascii="Arial" w:eastAsia="Calibri" w:hAnsi="Arial" w:cs="Arial"/>
          <w:color w:val="000000"/>
          <w:sz w:val="24"/>
          <w:szCs w:val="24"/>
          <w:vertAlign w:val="superscript"/>
          <w:lang w:val="en-US"/>
        </w:rPr>
        <w:t>1#</w:t>
      </w:r>
      <w:r w:rsidRPr="00855254">
        <w:rPr>
          <w:rFonts w:ascii="Arial" w:eastAsia="Calibri" w:hAnsi="Arial" w:cs="Arial"/>
          <w:color w:val="000000"/>
          <w:sz w:val="24"/>
          <w:szCs w:val="24"/>
          <w:lang w:val="en-US"/>
        </w:rPr>
        <w:t>, Francisco Javier Cubero</w:t>
      </w:r>
      <w:r w:rsidRPr="00855254">
        <w:rPr>
          <w:rFonts w:ascii="Arial" w:eastAsia="Calibri" w:hAnsi="Arial" w:cs="Arial"/>
          <w:color w:val="000000"/>
          <w:sz w:val="24"/>
          <w:szCs w:val="24"/>
          <w:vertAlign w:val="superscript"/>
          <w:lang w:val="en-US"/>
        </w:rPr>
        <w:t>1,4,5#</w:t>
      </w:r>
    </w:p>
    <w:p w:rsidR="00975DDE" w:rsidRPr="00855254" w:rsidRDefault="00975DDE">
      <w:pPr>
        <w:rPr>
          <w:rFonts w:ascii="Arial" w:hAnsi="Arial" w:cs="Arial"/>
          <w:sz w:val="24"/>
          <w:szCs w:val="24"/>
          <w:lang w:val="en-US"/>
        </w:rPr>
      </w:pPr>
    </w:p>
    <w:p w:rsidR="0074227D" w:rsidRPr="00855254" w:rsidRDefault="0074227D">
      <w:pPr>
        <w:rPr>
          <w:rFonts w:ascii="Arial" w:hAnsi="Arial" w:cs="Arial"/>
          <w:sz w:val="24"/>
          <w:szCs w:val="24"/>
          <w:lang w:val="en-US"/>
        </w:rPr>
      </w:pPr>
    </w:p>
    <w:p w:rsidR="0074227D" w:rsidRPr="004C0DFB" w:rsidRDefault="0074227D">
      <w:pPr>
        <w:rPr>
          <w:rFonts w:ascii="Arial" w:hAnsi="Arial" w:cs="Arial"/>
          <w:sz w:val="24"/>
          <w:szCs w:val="24"/>
          <w:lang w:val="en-US"/>
        </w:rPr>
      </w:pPr>
    </w:p>
    <w:p w:rsidR="0074227D" w:rsidRPr="00855254" w:rsidRDefault="00B575DF" w:rsidP="005A15FA">
      <w:pPr>
        <w:pStyle w:val="Ttulo1"/>
        <w:rPr>
          <w:rFonts w:ascii="Arial" w:hAnsi="Arial" w:cs="Arial"/>
          <w:b/>
          <w:color w:val="000000" w:themeColor="text1"/>
          <w:sz w:val="24"/>
          <w:szCs w:val="24"/>
          <w:lang w:val="en-US"/>
        </w:rPr>
      </w:pPr>
      <w:r>
        <w:rPr>
          <w:rStyle w:val="Ttulo1Car"/>
          <w:rFonts w:ascii="Arial" w:hAnsi="Arial" w:cs="Arial"/>
          <w:b/>
          <w:color w:val="000000" w:themeColor="text1"/>
          <w:sz w:val="24"/>
          <w:szCs w:val="24"/>
          <w:lang w:val="en-US"/>
        </w:rPr>
        <w:t>SUPPLEMENTARY MATERIAL AND METHODS</w:t>
      </w:r>
    </w:p>
    <w:p w:rsidR="005A15FA" w:rsidRPr="00855254" w:rsidRDefault="005A15FA" w:rsidP="005A15FA">
      <w:pPr>
        <w:rPr>
          <w:rFonts w:ascii="Arial" w:hAnsi="Arial" w:cs="Arial"/>
          <w:sz w:val="24"/>
          <w:szCs w:val="24"/>
          <w:lang w:val="en-US"/>
        </w:rPr>
      </w:pPr>
    </w:p>
    <w:p w:rsidR="0074227D" w:rsidRDefault="0074227D" w:rsidP="008D15B0">
      <w:pPr>
        <w:spacing w:after="0" w:line="480" w:lineRule="auto"/>
        <w:jc w:val="both"/>
        <w:rPr>
          <w:rFonts w:ascii="Arial" w:eastAsiaTheme="minorEastAsia" w:hAnsi="Arial" w:cs="Arial"/>
          <w:sz w:val="24"/>
          <w:szCs w:val="24"/>
          <w:lang w:val="en-GB"/>
        </w:rPr>
      </w:pPr>
      <w:r w:rsidRPr="00855254">
        <w:rPr>
          <w:rFonts w:ascii="Arial" w:eastAsiaTheme="minorEastAsia" w:hAnsi="Arial" w:cs="Arial"/>
          <w:b/>
          <w:sz w:val="24"/>
          <w:szCs w:val="24"/>
          <w:lang w:val="en-GB"/>
        </w:rPr>
        <w:t>Immunohistochemistry staining</w:t>
      </w:r>
      <w:r w:rsidR="00B575DF">
        <w:rPr>
          <w:rFonts w:ascii="Arial" w:eastAsiaTheme="minorEastAsia" w:hAnsi="Arial" w:cs="Arial"/>
          <w:b/>
          <w:sz w:val="24"/>
          <w:szCs w:val="24"/>
          <w:lang w:val="en-GB"/>
        </w:rPr>
        <w:t xml:space="preserve">. </w:t>
      </w:r>
      <w:r w:rsidRPr="00855254">
        <w:rPr>
          <w:rFonts w:ascii="Arial" w:eastAsiaTheme="minorEastAsia" w:hAnsi="Arial" w:cs="Arial"/>
          <w:sz w:val="24"/>
          <w:szCs w:val="24"/>
          <w:lang w:val="en-GB"/>
        </w:rPr>
        <w:t>Liver tissue slides were stained for Cleaved Caspase 3 (Cell Signaling Te</w:t>
      </w:r>
      <w:r w:rsidR="00E868DA" w:rsidRPr="00855254">
        <w:rPr>
          <w:rFonts w:ascii="Arial" w:eastAsiaTheme="minorEastAsia" w:hAnsi="Arial" w:cs="Arial"/>
          <w:sz w:val="24"/>
          <w:szCs w:val="24"/>
          <w:lang w:val="en-GB"/>
        </w:rPr>
        <w:t xml:space="preserve">chnology), PCNA (Dianova GmbH) </w:t>
      </w:r>
      <w:r w:rsidRPr="00855254">
        <w:rPr>
          <w:rFonts w:ascii="Arial" w:eastAsiaTheme="minorEastAsia" w:hAnsi="Arial" w:cs="Arial"/>
          <w:sz w:val="24"/>
          <w:szCs w:val="24"/>
          <w:lang w:val="en-GB"/>
        </w:rPr>
        <w:t xml:space="preserve">on paraffin sections. Eight randomly chosen images were taken of each liver tissue section (20X magnification, scale bars: 100 µm) for analysing using Axiovision software (Carl Zeiss, Jena, Germany). </w:t>
      </w:r>
    </w:p>
    <w:p w:rsidR="00F466E2" w:rsidRDefault="00F466E2" w:rsidP="008D15B0">
      <w:pPr>
        <w:spacing w:after="0" w:line="480" w:lineRule="auto"/>
        <w:jc w:val="both"/>
        <w:rPr>
          <w:rFonts w:ascii="Arial" w:eastAsiaTheme="minorEastAsia" w:hAnsi="Arial" w:cs="Arial"/>
          <w:sz w:val="24"/>
          <w:szCs w:val="24"/>
          <w:lang w:val="en-GB"/>
        </w:rPr>
      </w:pPr>
    </w:p>
    <w:p w:rsidR="00F466E2" w:rsidRPr="00FD1DB1" w:rsidRDefault="00F466E2" w:rsidP="0074227D">
      <w:pPr>
        <w:spacing w:after="0" w:line="480" w:lineRule="auto"/>
        <w:jc w:val="both"/>
        <w:rPr>
          <w:rFonts w:ascii="Arial" w:eastAsiaTheme="minorEastAsia" w:hAnsi="Arial" w:cs="Arial"/>
          <w:sz w:val="24"/>
          <w:szCs w:val="24"/>
          <w:lang w:val="en-US"/>
        </w:rPr>
      </w:pPr>
      <w:r w:rsidRPr="00FD1DB1">
        <w:rPr>
          <w:rFonts w:ascii="Arial" w:eastAsiaTheme="minorEastAsia" w:hAnsi="Arial" w:cs="Arial"/>
          <w:b/>
          <w:sz w:val="24"/>
          <w:szCs w:val="24"/>
          <w:lang w:val="en-GB"/>
        </w:rPr>
        <w:t>Im</w:t>
      </w:r>
      <w:r w:rsidR="00DB3BBE" w:rsidRPr="00FD1DB1">
        <w:rPr>
          <w:rFonts w:ascii="Arial" w:eastAsiaTheme="minorEastAsia" w:hAnsi="Arial" w:cs="Arial"/>
          <w:b/>
          <w:sz w:val="24"/>
          <w:szCs w:val="24"/>
          <w:lang w:val="en-GB"/>
        </w:rPr>
        <w:t xml:space="preserve">munofluorescence staining Ki-67. </w:t>
      </w:r>
      <w:r w:rsidRPr="00FD1DB1">
        <w:rPr>
          <w:rFonts w:ascii="Arial" w:eastAsiaTheme="minorEastAsia" w:hAnsi="Arial" w:cs="Arial"/>
          <w:sz w:val="24"/>
          <w:szCs w:val="24"/>
          <w:lang w:val="en-US"/>
        </w:rPr>
        <w:t xml:space="preserve">Liver tissue cryosections were fixed in 4% PFA for 10 min. Samples were rinsed in PBS-Tween for 10 min after fixation and blocked with 10% goat serum for 1h. Subsequently, incubation with primary antibody Ki-67 (Leica Biosystems Inc., Leider Lane, IL, USA) was performed at 4°C overnight. The day after, samples were incubated with appropriate fluorescence-labelled secondary antibodies (AlexaFluor 488 and 564, Invitrogen, Oregon, USA) for 1 h at room temperature. </w:t>
      </w:r>
      <w:r w:rsidRPr="00FD1DB1">
        <w:rPr>
          <w:rFonts w:ascii="Arial" w:eastAsia="MS Mincho" w:hAnsi="Arial" w:cs="Arial"/>
          <w:sz w:val="24"/>
          <w:szCs w:val="24"/>
          <w:lang w:val="en-US" w:eastAsia="zh-CN"/>
        </w:rPr>
        <w:t xml:space="preserve">After the incubation time, the sections were washed by three repetitive 3 min washing steps in </w:t>
      </w:r>
      <w:r w:rsidRPr="00FD1DB1">
        <w:rPr>
          <w:rFonts w:ascii="Arial" w:eastAsiaTheme="minorEastAsia" w:hAnsi="Arial" w:cs="Arial"/>
          <w:sz w:val="24"/>
          <w:szCs w:val="24"/>
          <w:lang w:val="en-US"/>
        </w:rPr>
        <w:t xml:space="preserve">PBS-Tween </w:t>
      </w:r>
      <w:r w:rsidRPr="00FD1DB1">
        <w:rPr>
          <w:rFonts w:ascii="Arial" w:eastAsia="MS Mincho" w:hAnsi="Arial" w:cs="Arial"/>
          <w:sz w:val="24"/>
          <w:szCs w:val="24"/>
          <w:lang w:val="en-US" w:eastAsia="zh-CN"/>
        </w:rPr>
        <w:t>and were counterstained with mounting medium with DAPI. Subsequently, the sections were assed under the microscope.</w:t>
      </w:r>
    </w:p>
    <w:p w:rsidR="00F466E2" w:rsidRPr="00F466E2" w:rsidRDefault="00F466E2" w:rsidP="0074227D">
      <w:pPr>
        <w:spacing w:after="0" w:line="480" w:lineRule="auto"/>
        <w:jc w:val="both"/>
        <w:rPr>
          <w:rFonts w:ascii="Arial" w:eastAsiaTheme="minorEastAsia" w:hAnsi="Arial" w:cs="Arial"/>
          <w:sz w:val="24"/>
          <w:szCs w:val="24"/>
          <w:lang w:val="en-US"/>
        </w:rPr>
      </w:pPr>
    </w:p>
    <w:p w:rsidR="0074227D" w:rsidRPr="00855254" w:rsidRDefault="0074227D" w:rsidP="00B575DF">
      <w:pPr>
        <w:spacing w:after="0" w:line="480" w:lineRule="auto"/>
        <w:jc w:val="both"/>
        <w:rPr>
          <w:rFonts w:ascii="Arial" w:hAnsi="Arial" w:cs="Arial"/>
          <w:sz w:val="24"/>
          <w:szCs w:val="24"/>
          <w:lang w:val="en-US"/>
        </w:rPr>
      </w:pPr>
      <w:r w:rsidRPr="00855254">
        <w:rPr>
          <w:rFonts w:ascii="Arial" w:eastAsiaTheme="minorEastAsia" w:hAnsi="Arial" w:cs="Arial"/>
          <w:b/>
          <w:sz w:val="24"/>
          <w:szCs w:val="24"/>
          <w:lang w:val="en-GB"/>
        </w:rPr>
        <w:t>Immunofluorescence</w:t>
      </w:r>
      <w:r w:rsidR="00F466E2">
        <w:rPr>
          <w:rFonts w:ascii="Arial" w:eastAsiaTheme="minorEastAsia" w:hAnsi="Arial" w:cs="Arial"/>
          <w:b/>
          <w:sz w:val="24"/>
          <w:szCs w:val="24"/>
          <w:lang w:val="en-GB"/>
        </w:rPr>
        <w:t xml:space="preserve"> staining </w:t>
      </w:r>
      <w:r w:rsidR="00F466E2" w:rsidRPr="00F466E2">
        <w:rPr>
          <w:rFonts w:ascii="Arial" w:eastAsiaTheme="minorEastAsia" w:hAnsi="Arial" w:cs="Arial"/>
          <w:b/>
          <w:sz w:val="24"/>
          <w:szCs w:val="24"/>
          <w:lang w:val="en-GB"/>
        </w:rPr>
        <w:t>CD11b+F4/80+</w:t>
      </w:r>
      <w:r w:rsidR="00DB3BBE">
        <w:rPr>
          <w:rFonts w:ascii="Arial" w:eastAsiaTheme="minorEastAsia" w:hAnsi="Arial" w:cs="Arial"/>
          <w:b/>
          <w:sz w:val="24"/>
          <w:szCs w:val="24"/>
          <w:lang w:val="en-GB"/>
        </w:rPr>
        <w:t xml:space="preserve">. </w:t>
      </w:r>
      <w:r w:rsidRPr="00855254">
        <w:rPr>
          <w:rFonts w:ascii="Arial" w:hAnsi="Arial" w:cs="Arial"/>
          <w:sz w:val="24"/>
          <w:szCs w:val="24"/>
          <w:lang w:val="en-US"/>
        </w:rPr>
        <w:t xml:space="preserve">First, freshly cut sections were fixed with formaldehyde (4%) for 10 min followed by 3x 3 min washing with DPBS+0,02% NaAzide. Next, the sections were blocked with DPBS+ 0,02% NaAzide+ 0,2% BSA for 5 min at room temperature. The blocking solution was removed by 3x 5 min washing step in DPBS+ 0,02% NaAzide. In the next step, the sections were incubated at room temperature with the primary antibody CD11b (BD, 1:500 in DPBS+ 1% mouse serum) for 45 minutes. Subsequently, the sections were washed 3 x 5 min with DPBS+ 0,02% NaAzide followed by the incubation of the secondary goat anti-rat / Cy3 antibody (1:500 in DPBS+ 1% mouse serum) at room temperature for 1 hour. After the incubation time, the sections were washed by three repetitive 3 min washing steps in DPBS+ 0,02% NaAzide. </w:t>
      </w:r>
    </w:p>
    <w:p w:rsidR="0074227D" w:rsidRPr="00855254" w:rsidRDefault="0074227D" w:rsidP="0074227D">
      <w:pPr>
        <w:spacing w:after="0" w:line="480" w:lineRule="auto"/>
        <w:contextualSpacing/>
        <w:jc w:val="both"/>
        <w:rPr>
          <w:rFonts w:ascii="Arial" w:eastAsia="MS Mincho" w:hAnsi="Arial" w:cs="Arial"/>
          <w:color w:val="000000"/>
          <w:sz w:val="24"/>
          <w:szCs w:val="24"/>
          <w:lang w:val="en-US" w:eastAsia="zh-CN"/>
        </w:rPr>
      </w:pPr>
      <w:r w:rsidRPr="00855254">
        <w:rPr>
          <w:rFonts w:ascii="Arial" w:eastAsia="MS Mincho" w:hAnsi="Arial" w:cs="Arial"/>
          <w:sz w:val="24"/>
          <w:szCs w:val="24"/>
          <w:lang w:val="en-US" w:eastAsia="zh-CN"/>
        </w:rPr>
        <w:t>To obtain a double staining, the sections were blocked again with DPBS+ 0,02% NaAzide+ 0,2% BSA for 5 min at room temperature. In the next step, the sections were incubated over night at 4°C with the primary F4/80 antibody (Bio-Rad, 1:200 in DPBS+ 1% mouse serum). The next day, the sections were washed for 3 x 5 min with DPBS+ 0.02% NaAzide followed by the incubation of the secondary goat anti-rat / Alexa 488 antibody (1:500 in DPBS+ 1% mouse serum) at room temperature for 1 hour. After the incubation time, the sections were washed by three repetitive 3 min washing steps in DPBS+ 0,02% NaAzide and were counterstained with mounting medium with DAPI. Subsequentl</w:t>
      </w:r>
      <w:r w:rsidRPr="00855254">
        <w:rPr>
          <w:rFonts w:ascii="Arial" w:eastAsia="MS Mincho" w:hAnsi="Arial" w:cs="Arial"/>
          <w:color w:val="000000"/>
          <w:sz w:val="24"/>
          <w:szCs w:val="24"/>
          <w:lang w:val="en-US" w:eastAsia="zh-CN"/>
        </w:rPr>
        <w:t>y, the sections were assed under the microscope. Eight randomly chosen images were taken of each liver tissue section (20X magnification, scale bars: 100 µm) for the analysis using Axiovision software (Carl Zeiss, Jena, Germany).</w:t>
      </w:r>
    </w:p>
    <w:p w:rsidR="0074227D" w:rsidRPr="00855254" w:rsidRDefault="0074227D" w:rsidP="0074227D">
      <w:pPr>
        <w:spacing w:after="0" w:line="480" w:lineRule="auto"/>
        <w:contextualSpacing/>
        <w:jc w:val="both"/>
        <w:rPr>
          <w:rFonts w:ascii="Arial" w:eastAsia="MS Mincho" w:hAnsi="Arial" w:cs="Arial"/>
          <w:color w:val="000000"/>
          <w:sz w:val="24"/>
          <w:szCs w:val="24"/>
          <w:lang w:val="en-US" w:eastAsia="zh-CN"/>
        </w:rPr>
      </w:pPr>
    </w:p>
    <w:p w:rsidR="0074227D" w:rsidRPr="00855254" w:rsidRDefault="0074227D" w:rsidP="0074227D">
      <w:pPr>
        <w:spacing w:after="0" w:line="480" w:lineRule="auto"/>
        <w:jc w:val="both"/>
        <w:rPr>
          <w:rFonts w:ascii="Arial" w:eastAsia="MS Mincho" w:hAnsi="Arial" w:cs="Arial"/>
          <w:sz w:val="24"/>
          <w:szCs w:val="24"/>
          <w:lang w:val="en-US" w:eastAsia="zh-CN"/>
        </w:rPr>
      </w:pPr>
      <w:r w:rsidRPr="00855254">
        <w:rPr>
          <w:rFonts w:ascii="Arial" w:eastAsiaTheme="minorEastAsia" w:hAnsi="Arial" w:cs="Arial"/>
          <w:b/>
          <w:sz w:val="24"/>
          <w:szCs w:val="24"/>
          <w:lang w:val="en-GB" w:eastAsia="zh-CN"/>
        </w:rPr>
        <w:lastRenderedPageBreak/>
        <w:t>Fluorescent activated cell sorting (FACS)</w:t>
      </w:r>
      <w:r w:rsidR="00B575DF">
        <w:rPr>
          <w:rFonts w:ascii="Arial" w:eastAsiaTheme="minorEastAsia" w:hAnsi="Arial" w:cs="Arial"/>
          <w:b/>
          <w:sz w:val="24"/>
          <w:szCs w:val="24"/>
          <w:lang w:val="en-GB" w:eastAsia="zh-CN"/>
        </w:rPr>
        <w:t xml:space="preserve">. </w:t>
      </w:r>
      <w:r w:rsidRPr="00855254">
        <w:rPr>
          <w:rFonts w:ascii="Arial" w:eastAsia="MS Mincho" w:hAnsi="Arial" w:cs="Arial"/>
          <w:sz w:val="24"/>
          <w:szCs w:val="24"/>
          <w:lang w:val="en-US" w:eastAsia="zh-CN"/>
        </w:rPr>
        <w:t>To assess the different immune cell type in the liver, the mice were scarified and the approximately 200 mg of the liver was used for preparation to perform FACS analysis.</w:t>
      </w:r>
    </w:p>
    <w:p w:rsidR="0074227D" w:rsidRPr="00855254" w:rsidRDefault="0074227D" w:rsidP="0074227D">
      <w:pPr>
        <w:spacing w:after="0" w:line="480" w:lineRule="auto"/>
        <w:contextualSpacing/>
        <w:jc w:val="both"/>
        <w:rPr>
          <w:rFonts w:ascii="Arial" w:eastAsia="MS Mincho" w:hAnsi="Arial" w:cs="Arial"/>
          <w:sz w:val="24"/>
          <w:szCs w:val="24"/>
          <w:lang w:val="en-US" w:eastAsia="zh-CN"/>
        </w:rPr>
      </w:pPr>
      <w:r w:rsidRPr="00855254">
        <w:rPr>
          <w:rFonts w:ascii="Arial" w:eastAsia="MS Mincho" w:hAnsi="Arial" w:cs="Arial"/>
          <w:sz w:val="24"/>
          <w:szCs w:val="24"/>
          <w:lang w:val="en-US" w:eastAsia="zh-CN"/>
        </w:rPr>
        <w:t xml:space="preserve">The liver specimen was digested in 5 ml RPMI medium containing 2 mg Collagenase 2 (Roche) and was incubated for 45 min at 37°C on a shaker. Next, the digested liver was meshed trough a 70 µm cell strainer in a new tube and gently mixed with 10 ml Hanks complete solution (500ml HBSS+ 3 ml 10% BSA+ 1.5 ml EDTA pH 8, 0.5 M). To separate the leukocytes from hepatocytes and cell debris, the sample was centrifuged for 5 min at 50x g, 4°C. Subsequently, the supernatant was transferred into a new tube and the sample was centrifuged for 10 min at 450x g, 4°C to pellet the leukocytes. The supernatant was removed and the pellet was gently mixed with 5 ml lysis buffer (BD Pharm Lyse) for 15 min at 4°C to degrade the remaining erythrocytes in the sample. After this incubation time, the sample was gently mixed with 10 ml Hanks complete solution and centrifuged for 10 min at 450x g, 4°C. Next, the supernatant was removed and the sample was blocked with 200 µl of the FACS blocking solution (10 ml HBSS+ </w:t>
      </w:r>
      <w:r w:rsidRPr="00855254">
        <w:rPr>
          <w:rFonts w:ascii="Arial" w:eastAsia="MS Mincho" w:hAnsi="Arial" w:cs="Arial"/>
          <w:sz w:val="24"/>
          <w:szCs w:val="24"/>
          <w:lang w:val="en-US" w:eastAsia="de-DE"/>
        </w:rPr>
        <w:t>5 ml 10% FBS)</w:t>
      </w:r>
      <w:r w:rsidRPr="00855254">
        <w:rPr>
          <w:rFonts w:ascii="Arial" w:eastAsia="MS Mincho" w:hAnsi="Arial" w:cs="Arial"/>
          <w:sz w:val="24"/>
          <w:szCs w:val="24"/>
          <w:lang w:val="en-US" w:eastAsia="zh-CN"/>
        </w:rPr>
        <w:t xml:space="preserve"> for 20 min at 4°C. After the blocking step, the sample was centrifuged for 10 min at 450x g, 4°C to remove the supernatant containing the FACS blocking solution. Immune cells were stained for the myeloid and lymphoid panel (1/80 dilution) for 30 min at 4°C with the following antibodies: </w:t>
      </w:r>
      <w:r w:rsidRPr="00855254">
        <w:rPr>
          <w:rFonts w:ascii="Arial" w:eastAsia="Calibri" w:hAnsi="Arial" w:cs="Arial"/>
          <w:sz w:val="24"/>
          <w:szCs w:val="24"/>
          <w:lang w:val="en-US"/>
        </w:rPr>
        <w:t xml:space="preserve">CD11b / PE, CD11c / APC, CD3e / APC, CD4 / PE, CD45 / APC-eFluor® 780, CD8 / FITC, F4/80 / PE-Cy7, NK1.1 / PE-Cy7 (eBioscience), CD19 / Percp-Cy5.5, Gr1-Percp / Cy5.5, Ly6G / FITC (BD). </w:t>
      </w:r>
    </w:p>
    <w:p w:rsidR="0074227D" w:rsidRPr="00855254" w:rsidRDefault="0074227D" w:rsidP="0074227D">
      <w:pPr>
        <w:spacing w:after="0" w:line="480" w:lineRule="auto"/>
        <w:contextualSpacing/>
        <w:jc w:val="both"/>
        <w:rPr>
          <w:rFonts w:ascii="Arial" w:eastAsia="MS Mincho" w:hAnsi="Arial" w:cs="Arial"/>
          <w:sz w:val="24"/>
          <w:szCs w:val="24"/>
          <w:lang w:val="en-US" w:eastAsia="zh-CN"/>
        </w:rPr>
      </w:pPr>
      <w:r w:rsidRPr="00855254">
        <w:rPr>
          <w:rFonts w:ascii="Arial" w:eastAsia="MS Mincho" w:hAnsi="Arial" w:cs="Arial"/>
          <w:sz w:val="24"/>
          <w:szCs w:val="24"/>
          <w:lang w:val="en-US" w:eastAsia="zh-CN"/>
        </w:rPr>
        <w:t xml:space="preserve">In the next step, the cell and antibody suspension was centrifuged for 10 min at 450x g, 4°C and resuspended in 200 µl Hanks complete solution. In the last step, each sample was mixed with 20 µl Hoechst (Invitrogen) and 20 µl of approximately 20000 </w:t>
      </w:r>
      <w:r w:rsidRPr="00855254">
        <w:rPr>
          <w:rFonts w:ascii="Arial" w:eastAsia="MS Mincho" w:hAnsi="Arial" w:cs="Arial"/>
          <w:sz w:val="24"/>
          <w:szCs w:val="24"/>
          <w:lang w:val="en-US" w:eastAsia="zh-CN"/>
        </w:rPr>
        <w:lastRenderedPageBreak/>
        <w:t xml:space="preserve">APC-Calibrate-Beads. The samples were placed on ice and were analyzed in the FACS machine (FACS Canto, BD). </w:t>
      </w:r>
    </w:p>
    <w:p w:rsidR="0074227D" w:rsidRPr="00855254" w:rsidRDefault="0074227D" w:rsidP="0074227D">
      <w:pPr>
        <w:spacing w:after="0" w:line="480" w:lineRule="auto"/>
        <w:jc w:val="both"/>
        <w:rPr>
          <w:rFonts w:ascii="Arial" w:eastAsiaTheme="minorEastAsia" w:hAnsi="Arial" w:cs="Arial"/>
          <w:b/>
          <w:sz w:val="24"/>
          <w:szCs w:val="24"/>
          <w:lang w:val="en-GB"/>
        </w:rPr>
      </w:pPr>
    </w:p>
    <w:p w:rsidR="0074227D" w:rsidRPr="00855254" w:rsidRDefault="0074227D" w:rsidP="0074227D">
      <w:pPr>
        <w:spacing w:line="256" w:lineRule="auto"/>
        <w:jc w:val="both"/>
        <w:rPr>
          <w:rFonts w:ascii="Arial" w:hAnsi="Arial" w:cs="Arial"/>
          <w:color w:val="000000"/>
          <w:sz w:val="24"/>
          <w:szCs w:val="24"/>
          <w:lang w:val="en-US"/>
        </w:rPr>
      </w:pPr>
    </w:p>
    <w:p w:rsidR="0074227D" w:rsidRDefault="0074227D" w:rsidP="004C0DFB">
      <w:pPr>
        <w:spacing w:after="0" w:line="480" w:lineRule="auto"/>
        <w:jc w:val="both"/>
        <w:rPr>
          <w:rFonts w:ascii="Arial" w:hAnsi="Arial" w:cs="Arial"/>
          <w:color w:val="000000" w:themeColor="text1"/>
          <w:sz w:val="24"/>
          <w:szCs w:val="24"/>
          <w:lang w:val="en-US"/>
        </w:rPr>
      </w:pPr>
      <w:r w:rsidRPr="00855254">
        <w:rPr>
          <w:rFonts w:ascii="Arial" w:eastAsiaTheme="minorEastAsia" w:hAnsi="Arial" w:cs="Arial"/>
          <w:b/>
          <w:sz w:val="24"/>
          <w:szCs w:val="24"/>
          <w:lang w:val="en-GB" w:eastAsia="zh-CN"/>
        </w:rPr>
        <w:t>Real-Time quantitative PCR</w:t>
      </w:r>
      <w:r w:rsidR="004C0DFB">
        <w:rPr>
          <w:rFonts w:ascii="Arial" w:eastAsiaTheme="minorEastAsia" w:hAnsi="Arial" w:cs="Arial"/>
          <w:b/>
          <w:sz w:val="24"/>
          <w:szCs w:val="24"/>
          <w:lang w:val="en-GB" w:eastAsia="zh-CN"/>
        </w:rPr>
        <w:t xml:space="preserve">. </w:t>
      </w:r>
      <w:r w:rsidRPr="00855254">
        <w:rPr>
          <w:rFonts w:ascii="Arial" w:hAnsi="Arial" w:cs="Arial"/>
          <w:sz w:val="24"/>
          <w:szCs w:val="24"/>
          <w:lang w:val="en-US"/>
        </w:rPr>
        <w:t xml:space="preserve">Using the Omniscipt® RT Kit (ThermoFisher Scientific), cDNA was analyzed for the following genes. </w:t>
      </w:r>
      <w:r w:rsidRPr="00855254">
        <w:rPr>
          <w:rFonts w:ascii="Arial" w:eastAsia="MS Mincho" w:hAnsi="Arial" w:cs="Arial"/>
          <w:color w:val="000000"/>
          <w:sz w:val="24"/>
          <w:szCs w:val="24"/>
          <w:lang w:val="en-US" w:eastAsia="de-DE"/>
        </w:rPr>
        <w:t xml:space="preserve">All primers were purchased from Eurofins MWG Operon (Huntsville, USA). The following primer sequences were used for mice genotyping and </w:t>
      </w:r>
      <w:r w:rsidRPr="00855254">
        <w:rPr>
          <w:rFonts w:ascii="Arial" w:hAnsi="Arial" w:cs="Arial"/>
          <w:color w:val="000000" w:themeColor="text1"/>
          <w:sz w:val="24"/>
          <w:szCs w:val="24"/>
          <w:lang w:val="en-US"/>
        </w:rPr>
        <w:t>Data were analyzed using QuantStudio™ (Thermo Scientific) software.</w:t>
      </w:r>
    </w:p>
    <w:p w:rsidR="004C0DFB" w:rsidRPr="00855254" w:rsidRDefault="004C0DFB" w:rsidP="004C0DFB">
      <w:pPr>
        <w:spacing w:after="0" w:line="480" w:lineRule="auto"/>
        <w:jc w:val="both"/>
        <w:rPr>
          <w:rFonts w:ascii="Arial" w:hAnsi="Arial" w:cs="Arial"/>
          <w:color w:val="000000" w:themeColor="text1"/>
          <w:sz w:val="24"/>
          <w:szCs w:val="24"/>
          <w:lang w:val="en-US"/>
        </w:rPr>
      </w:pPr>
    </w:p>
    <w:p w:rsidR="0074227D" w:rsidRPr="00855254" w:rsidRDefault="0074227D" w:rsidP="0074227D">
      <w:pPr>
        <w:spacing w:line="480" w:lineRule="auto"/>
        <w:jc w:val="both"/>
        <w:rPr>
          <w:rFonts w:ascii="Arial" w:eastAsia="Times New Roman" w:hAnsi="Arial" w:cs="Arial"/>
          <w:color w:val="000000" w:themeColor="text1"/>
          <w:sz w:val="24"/>
          <w:szCs w:val="24"/>
          <w:lang w:val="en-US"/>
        </w:rPr>
      </w:pPr>
      <w:r w:rsidRPr="00855254">
        <w:rPr>
          <w:rFonts w:ascii="Arial" w:eastAsia="Times New Roman" w:hAnsi="Arial" w:cs="Arial"/>
          <w:b/>
          <w:color w:val="000000" w:themeColor="text1"/>
          <w:sz w:val="24"/>
          <w:szCs w:val="24"/>
          <w:lang w:val="en-US"/>
        </w:rPr>
        <w:t>Combined fluorescence molecular tomography and microcomputed tomography (FMT/μCT)</w:t>
      </w:r>
      <w:r w:rsidR="004C0DFB">
        <w:rPr>
          <w:rFonts w:ascii="Arial" w:eastAsia="Times New Roman" w:hAnsi="Arial" w:cs="Arial"/>
          <w:b/>
          <w:color w:val="000000" w:themeColor="text1"/>
          <w:sz w:val="24"/>
          <w:szCs w:val="24"/>
          <w:lang w:val="en-US"/>
        </w:rPr>
        <w:t xml:space="preserve">. </w:t>
      </w:r>
      <w:r w:rsidRPr="00855254">
        <w:rPr>
          <w:rFonts w:ascii="Arial" w:eastAsia="Times New Roman" w:hAnsi="Arial" w:cs="Arial"/>
          <w:color w:val="000000" w:themeColor="text1"/>
          <w:sz w:val="24"/>
          <w:szCs w:val="24"/>
          <w:lang w:val="en-US"/>
        </w:rPr>
        <w:t xml:space="preserve">The fluorescence molecular tomography (FMT) and micro computed tomography (μCT) measurements were performed at the Institute for Experimental Molecular Imaging (ExMI) at the University Hospital Aachen. </w:t>
      </w:r>
    </w:p>
    <w:p w:rsidR="0074227D" w:rsidRPr="00855254" w:rsidRDefault="0074227D" w:rsidP="0074227D">
      <w:pPr>
        <w:spacing w:line="480" w:lineRule="auto"/>
        <w:jc w:val="both"/>
        <w:rPr>
          <w:rFonts w:ascii="Arial" w:eastAsia="Times New Roman" w:hAnsi="Arial" w:cs="Arial"/>
          <w:color w:val="000000" w:themeColor="text1"/>
          <w:sz w:val="24"/>
          <w:szCs w:val="24"/>
          <w:lang w:val="en-US"/>
        </w:rPr>
      </w:pPr>
      <w:r w:rsidRPr="00855254">
        <w:rPr>
          <w:rFonts w:ascii="Arial" w:eastAsia="Times New Roman" w:hAnsi="Arial" w:cs="Arial"/>
          <w:color w:val="000000" w:themeColor="text1"/>
          <w:sz w:val="24"/>
          <w:szCs w:val="24"/>
          <w:lang w:val="en-US"/>
        </w:rPr>
        <w:t xml:space="preserve">First, the mouse was shaved 1 day before the experiment at the abdomen and back with an electric shaver to reduce any possible interference by hairs during the FMT scans. In the next step, 9 hours before the FMT/µCT scan </w:t>
      </w:r>
      <w:r w:rsidR="00A67342">
        <w:rPr>
          <w:rFonts w:ascii="Arial" w:eastAsia="Times New Roman" w:hAnsi="Arial" w:cs="Arial"/>
          <w:color w:val="000000" w:themeColor="text1"/>
          <w:sz w:val="24"/>
          <w:szCs w:val="24"/>
          <w:lang w:val="en-US"/>
        </w:rPr>
        <w:t>the mouse was injected intraven</w:t>
      </w:r>
      <w:r w:rsidRPr="00855254">
        <w:rPr>
          <w:rFonts w:ascii="Arial" w:eastAsia="Times New Roman" w:hAnsi="Arial" w:cs="Arial"/>
          <w:color w:val="000000" w:themeColor="text1"/>
          <w:sz w:val="24"/>
          <w:szCs w:val="24"/>
          <w:lang w:val="en-US"/>
        </w:rPr>
        <w:t>ously with the cell death probe Duramycin-NIR790 conjugate (66.7 pmol/kg, kindly provided by Chris Pak, Molecular Targeting Technologies, Inc.). Duramycin-NIR790 conjugate binds to phosphatidylethanolamine (PE) with high affinity and specificity. Under normal conditions, PE is restricted to the inner part of the cell membrane. Upon apoptosis and cell death, PE is exposed to the outer leaflet of the cell membrane, thereby enabling</w:t>
      </w:r>
      <w:r w:rsidR="00916961" w:rsidRPr="00855254">
        <w:rPr>
          <w:rFonts w:ascii="Arial" w:eastAsia="Times New Roman" w:hAnsi="Arial" w:cs="Arial"/>
          <w:color w:val="000000" w:themeColor="text1"/>
          <w:sz w:val="24"/>
          <w:szCs w:val="24"/>
          <w:lang w:val="en-US"/>
        </w:rPr>
        <w:t xml:space="preserve"> the</w:t>
      </w:r>
      <w:r w:rsidRPr="00855254">
        <w:rPr>
          <w:rFonts w:ascii="Arial" w:eastAsia="Times New Roman" w:hAnsi="Arial" w:cs="Arial"/>
          <w:color w:val="000000" w:themeColor="text1"/>
          <w:sz w:val="24"/>
          <w:szCs w:val="24"/>
          <w:lang w:val="en-US"/>
        </w:rPr>
        <w:t xml:space="preserve"> binding of the imaging probe. Duramycin-based imaging probes have been successfully applied for the non-invasive imaging of cell death including apoptosis in disease diagnosis and for therapy monitoring.</w:t>
      </w:r>
      <w:r w:rsidR="003E7136" w:rsidRPr="00855254">
        <w:rPr>
          <w:rFonts w:ascii="Arial" w:eastAsia="Times New Roman" w:hAnsi="Arial" w:cs="Arial"/>
          <w:color w:val="000000" w:themeColor="text1"/>
          <w:sz w:val="24"/>
          <w:szCs w:val="24"/>
          <w:lang w:val="en-US"/>
        </w:rPr>
        <w:fldChar w:fldCharType="begin"/>
      </w:r>
      <w:r w:rsidR="00B575DF">
        <w:rPr>
          <w:rFonts w:ascii="Arial" w:eastAsia="Times New Roman" w:hAnsi="Arial" w:cs="Arial"/>
          <w:color w:val="000000" w:themeColor="text1"/>
          <w:sz w:val="24"/>
          <w:szCs w:val="24"/>
          <w:lang w:val="en-US"/>
        </w:rPr>
        <w:instrText xml:space="preserve"> ADDIN EN.CITE &lt;EndNote&gt;&lt;Cite&gt;&lt;Author&gt;Elvas&lt;/Author&gt;&lt;Year&gt;2017&lt;/Year&gt;&lt;RecNum&gt;0&lt;/RecNum&gt;&lt;IDText&gt;Phosphatidylethanolamine targeting for cell death imaging in early treatment response evaluation and disease diagnosis&lt;/IDText&gt;&lt;DisplayText&gt;&lt;style face="superscript"&gt;1&lt;/style&gt;&lt;/DisplayText&gt;&lt;record&gt;&lt;dates&gt;&lt;pub-dates&gt;&lt;date&gt;08&lt;/date&gt;&lt;/pub-dates&gt;&lt;year&gt;2017&lt;/year&gt;&lt;/dates&gt;&lt;keywords&gt;&lt;keyword&gt;Animals&lt;/keyword&gt;&lt;keyword&gt;Apoptosis&lt;/keyword&gt;&lt;keyword&gt;Bacteriocins&lt;/keyword&gt;&lt;keyword&gt;Biomarkers&lt;/keyword&gt;&lt;keyword&gt;Cell Membrane&lt;/keyword&gt;&lt;keyword&gt;Disease Models, Animal&lt;/keyword&gt;&lt;keyword&gt;Humans&lt;/keyword&gt;&lt;keyword&gt;Mice&lt;/keyword&gt;&lt;keyword&gt;Molecular Imaging&lt;/keyword&gt;&lt;keyword&gt;Neoplasms&lt;/keyword&gt;&lt;keyword&gt;Peptides&lt;/keyword&gt;&lt;keyword&gt;Phosphatidylethanolamines&lt;/keyword&gt;&lt;keyword&gt;Positron-Emission Tomography&lt;/keyword&gt;&lt;keyword&gt;Tomography, Emission-Computed, Single-Photon&lt;/keyword&gt;&lt;keyword&gt;Cell death&lt;/keyword&gt;&lt;keyword&gt;Duramycin&lt;/keyword&gt;&lt;keyword&gt;Molecular imaging&lt;/keyword&gt;&lt;keyword&gt;Phosphatidylethanolamine&lt;/keyword&gt;&lt;/keywords&gt;&lt;urls&gt;&lt;related-urls&gt;&lt;url&gt;https://www.ncbi.nlm.nih.gov/pubmed/28623512&lt;/url&gt;&lt;/related-urls&gt;&lt;/urls&gt;&lt;isbn&gt;1573-675X&lt;/isbn&gt;&lt;titles&gt;&lt;title&gt;Phosphatidylethanolamine targeting for cell death imaging in early treatment response evaluation and disease diagnosis&lt;/title&gt;&lt;secondary-title&gt;Apoptosis&lt;/secondary-title&gt;&lt;/titles&gt;&lt;pages&gt;971-987&lt;/pages&gt;&lt;number&gt;8&lt;/number&gt;&lt;contributors&gt;&lt;authors&gt;&lt;author&gt;Elvas, F.&lt;/author&gt;&lt;author&gt;Stroobants, S.&lt;/author&gt;&lt;author&gt;Wyffels, L.&lt;/author&gt;&lt;/authors&gt;&lt;/contributors&gt;&lt;language&gt;eng&lt;/language&gt;&lt;added-date format="utc"&gt;1557485483&lt;/added-date&gt;&lt;ref-type name="Journal Article"&gt;17&lt;/ref-type&gt;&lt;rec-number&gt;1434&lt;/rec-number&gt;&lt;last-updated-date format="utc"&gt;1557485483&lt;/last-updated-date&gt;&lt;accession-num&gt;28623512&lt;/accession-num&gt;&lt;electronic-resource-num&gt;10.1007/s10495-017-1384-0&lt;/electronic-resource-num&gt;&lt;volume&gt;22&lt;/volume&gt;&lt;/record&gt;&lt;/Cite&gt;&lt;/EndNote&gt;</w:instrText>
      </w:r>
      <w:r w:rsidR="003E7136" w:rsidRPr="00855254">
        <w:rPr>
          <w:rFonts w:ascii="Arial" w:eastAsia="Times New Roman" w:hAnsi="Arial" w:cs="Arial"/>
          <w:color w:val="000000" w:themeColor="text1"/>
          <w:sz w:val="24"/>
          <w:szCs w:val="24"/>
          <w:lang w:val="en-US"/>
        </w:rPr>
        <w:fldChar w:fldCharType="separate"/>
      </w:r>
      <w:r w:rsidRPr="00855254">
        <w:rPr>
          <w:rFonts w:ascii="Arial" w:eastAsia="Times New Roman" w:hAnsi="Arial" w:cs="Arial"/>
          <w:noProof/>
          <w:color w:val="000000" w:themeColor="text1"/>
          <w:sz w:val="24"/>
          <w:szCs w:val="24"/>
          <w:vertAlign w:val="superscript"/>
          <w:lang w:val="en-US"/>
        </w:rPr>
        <w:t>1</w:t>
      </w:r>
      <w:r w:rsidR="003E7136" w:rsidRPr="00855254">
        <w:rPr>
          <w:rFonts w:ascii="Arial" w:eastAsia="Times New Roman" w:hAnsi="Arial" w:cs="Arial"/>
          <w:color w:val="000000" w:themeColor="text1"/>
          <w:sz w:val="24"/>
          <w:szCs w:val="24"/>
          <w:lang w:val="en-US"/>
        </w:rPr>
        <w:fldChar w:fldCharType="end"/>
      </w:r>
    </w:p>
    <w:p w:rsidR="0074227D" w:rsidRPr="00855254" w:rsidRDefault="0074227D" w:rsidP="0074227D">
      <w:pPr>
        <w:spacing w:line="480" w:lineRule="auto"/>
        <w:jc w:val="both"/>
        <w:rPr>
          <w:rFonts w:ascii="Arial" w:eastAsia="Times New Roman" w:hAnsi="Arial" w:cs="Arial"/>
          <w:color w:val="000000" w:themeColor="text1"/>
          <w:sz w:val="24"/>
          <w:szCs w:val="24"/>
          <w:lang w:val="en-US"/>
        </w:rPr>
      </w:pPr>
      <w:r w:rsidRPr="00855254">
        <w:rPr>
          <w:rFonts w:ascii="Arial" w:eastAsia="Times New Roman" w:hAnsi="Arial" w:cs="Arial"/>
          <w:color w:val="000000" w:themeColor="text1"/>
          <w:sz w:val="24"/>
          <w:szCs w:val="24"/>
          <w:lang w:val="en-US"/>
        </w:rPr>
        <w:lastRenderedPageBreak/>
        <w:t>For scanning, the mouse was anesthetized using isoflurane (2% v/v). To precisely localize the liver and other organs, a µCT scan was performed directly before the FMT measurement (TomoScope 30s Duo, CT Imaging GmbH). During both scans, the mouse was kept anesthetized and was held in a fixed position in a multimodal animal bed. CT imaging was performed using the SQD-6565-360-29 protocol which acquires 720 projections with 516 x 506 pixels requiring a scanning time of 29 s per subscan. Directly after acquiring the µCT scans, the mouse bed was transferred to the FMT system (FMT 2500LX, PerkinElmer), and the FMT scan was performed at 790 nm. Data fusion and reconstruction of the fluorescence distribution were performed as described.</w:t>
      </w:r>
      <w:r w:rsidR="003E7136" w:rsidRPr="00855254">
        <w:rPr>
          <w:rFonts w:ascii="Arial" w:eastAsia="Times New Roman" w:hAnsi="Arial" w:cs="Arial"/>
          <w:color w:val="000000" w:themeColor="text1"/>
          <w:sz w:val="24"/>
          <w:szCs w:val="24"/>
          <w:lang w:val="en-US"/>
        </w:rPr>
        <w:fldChar w:fldCharType="begin">
          <w:fldData xml:space="preserve">PEVuZE5vdGU+PENpdGU+PEF1dGhvcj5HcmVtc2U8L0F1dGhvcj48WWVhcj4yMDE0PC9ZZWFyPjxS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</w:fldData>
        </w:fldChar>
      </w:r>
      <w:r w:rsidR="00B575DF">
        <w:rPr>
          <w:rFonts w:ascii="Arial" w:eastAsia="Times New Roman" w:hAnsi="Arial" w:cs="Arial"/>
          <w:color w:val="000000" w:themeColor="text1"/>
          <w:sz w:val="24"/>
          <w:szCs w:val="24"/>
          <w:lang w:val="en-US"/>
        </w:rPr>
        <w:instrText xml:space="preserve"> ADDIN EN.CITE </w:instrText>
      </w:r>
      <w:r w:rsidR="003E7136">
        <w:rPr>
          <w:rFonts w:ascii="Arial" w:eastAsia="Times New Roman" w:hAnsi="Arial" w:cs="Arial"/>
          <w:color w:val="000000" w:themeColor="text1"/>
          <w:sz w:val="24"/>
          <w:szCs w:val="24"/>
          <w:lang w:val="en-US"/>
        </w:rPr>
        <w:fldChar w:fldCharType="begin">
          <w:fldData xml:space="preserve">PEVuZE5vdGU+PENpdGU+PEF1dGhvcj5HcmVtc2U8L0F1dGhvcj48WWVhcj4yMDE0PC9ZZWFyPjxS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</w:fldData>
        </w:fldChar>
      </w:r>
      <w:r w:rsidR="00B575DF">
        <w:rPr>
          <w:rFonts w:ascii="Arial" w:eastAsia="Times New Roman" w:hAnsi="Arial" w:cs="Arial"/>
          <w:color w:val="000000" w:themeColor="text1"/>
          <w:sz w:val="24"/>
          <w:szCs w:val="24"/>
          <w:lang w:val="en-US"/>
        </w:rPr>
        <w:instrText xml:space="preserve"> ADDIN EN.CITE.DATA </w:instrText>
      </w:r>
      <w:r w:rsidR="003E7136">
        <w:rPr>
          <w:rFonts w:ascii="Arial" w:eastAsia="Times New Roman" w:hAnsi="Arial" w:cs="Arial"/>
          <w:color w:val="000000" w:themeColor="text1"/>
          <w:sz w:val="24"/>
          <w:szCs w:val="24"/>
          <w:lang w:val="en-US"/>
        </w:rPr>
      </w:r>
      <w:r w:rsidR="003E7136">
        <w:rPr>
          <w:rFonts w:ascii="Arial" w:eastAsia="Times New Roman" w:hAnsi="Arial" w:cs="Arial"/>
          <w:color w:val="000000" w:themeColor="text1"/>
          <w:sz w:val="24"/>
          <w:szCs w:val="24"/>
          <w:lang w:val="en-US"/>
        </w:rPr>
        <w:fldChar w:fldCharType="end"/>
      </w:r>
      <w:r w:rsidR="003E7136" w:rsidRPr="00855254">
        <w:rPr>
          <w:rFonts w:ascii="Arial" w:eastAsia="Times New Roman" w:hAnsi="Arial" w:cs="Arial"/>
          <w:color w:val="000000" w:themeColor="text1"/>
          <w:sz w:val="24"/>
          <w:szCs w:val="24"/>
          <w:lang w:val="en-US"/>
        </w:rPr>
      </w:r>
      <w:r w:rsidR="003E7136" w:rsidRPr="00855254">
        <w:rPr>
          <w:rFonts w:ascii="Arial" w:eastAsia="Times New Roman" w:hAnsi="Arial" w:cs="Arial"/>
          <w:color w:val="000000" w:themeColor="text1"/>
          <w:sz w:val="24"/>
          <w:szCs w:val="24"/>
          <w:lang w:val="en-US"/>
        </w:rPr>
        <w:fldChar w:fldCharType="separate"/>
      </w:r>
      <w:r w:rsidRPr="00855254">
        <w:rPr>
          <w:rFonts w:ascii="Arial" w:eastAsia="Times New Roman" w:hAnsi="Arial" w:cs="Arial"/>
          <w:noProof/>
          <w:color w:val="000000" w:themeColor="text1"/>
          <w:sz w:val="24"/>
          <w:szCs w:val="24"/>
          <w:vertAlign w:val="superscript"/>
          <w:lang w:val="en-US"/>
        </w:rPr>
        <w:t>2</w:t>
      </w:r>
      <w:r w:rsidR="003E7136" w:rsidRPr="00855254">
        <w:rPr>
          <w:rFonts w:ascii="Arial" w:eastAsia="Times New Roman" w:hAnsi="Arial" w:cs="Arial"/>
          <w:color w:val="000000" w:themeColor="text1"/>
          <w:sz w:val="24"/>
          <w:szCs w:val="24"/>
          <w:lang w:val="en-US"/>
        </w:rPr>
        <w:fldChar w:fldCharType="end"/>
      </w:r>
      <w:r w:rsidRPr="00855254">
        <w:rPr>
          <w:rFonts w:ascii="Arial" w:eastAsia="Times New Roman" w:hAnsi="Arial" w:cs="Arial"/>
          <w:color w:val="000000" w:themeColor="text1"/>
          <w:sz w:val="24"/>
          <w:szCs w:val="24"/>
          <w:lang w:val="en-US"/>
        </w:rPr>
        <w:t xml:space="preserve"> The organs were manually segmented based on the µCT data and the probe concentration in the liver was determined using Imalytics preclinical 2.0 (Gremse-IT GmbH Aachen).</w:t>
      </w:r>
      <w:r w:rsidR="003E7136" w:rsidRPr="00855254">
        <w:rPr>
          <w:rFonts w:ascii="Arial" w:eastAsia="Times New Roman" w:hAnsi="Arial" w:cs="Arial"/>
          <w:color w:val="000000" w:themeColor="text1"/>
          <w:sz w:val="24"/>
          <w:szCs w:val="24"/>
          <w:lang w:val="en-US"/>
        </w:rPr>
        <w:fldChar w:fldCharType="begin"/>
      </w:r>
      <w:r w:rsidR="00B575DF">
        <w:rPr>
          <w:rFonts w:ascii="Arial" w:eastAsia="Times New Roman" w:hAnsi="Arial" w:cs="Arial"/>
          <w:color w:val="000000" w:themeColor="text1"/>
          <w:sz w:val="24"/>
          <w:szCs w:val="24"/>
          <w:lang w:val="en-US"/>
        </w:rPr>
        <w:instrText xml:space="preserve"> ADDIN EN.CITE &lt;EndNote&gt;&lt;Cite&gt;&lt;Author&gt;Gremse&lt;/Author&gt;&lt;Year&gt;2016&lt;/Year&gt;&lt;RecNum&gt;0&lt;/RecNum&gt;&lt;IDText&gt;Imalytics Preclinical: Interactive Analysis of Biomedical Volume Data&lt;/IDText&gt;&lt;DisplayText&gt;&lt;style face="superscript"&gt;3&lt;/style&gt;&lt;/DisplayText&gt;&lt;record&gt;&lt;keywords&gt;&lt;keyword&gt;Animals&lt;/keyword&gt;&lt;keyword&gt;Humans&lt;/keyword&gt;&lt;keyword&gt;Image Processing, Computer-Assisted&lt;/keyword&gt;&lt;keyword&gt;Multimodal Imaging&lt;/keyword&gt;&lt;keyword&gt;Software&lt;/keyword&gt;&lt;keyword&gt;GPU Processing&lt;/keyword&gt;&lt;keyword&gt;Interactive Segmentation&lt;/keyword&gt;&lt;keyword&gt;Medical Image Analysis&lt;/keyword&gt;&lt;keyword&gt;Multimodal Imaging&lt;/keyword&gt;&lt;keyword&gt;Segmentation Rendering&lt;/keyword&gt;&lt;keyword&gt;Undo/Redo&lt;/keyword&gt;&lt;/keywords&gt;&lt;urls&gt;&lt;related-urls&gt;&lt;url&gt;https://www.ncbi.nlm.nih.gov/pubmed/26909109&lt;/url&gt;&lt;/related-urls&gt;&lt;/urls&gt;&lt;isbn&gt;1838-7640&lt;/isbn&gt;&lt;custom2&gt;PMC4737721&lt;/custom2&gt;&lt;titles&gt;&lt;title&gt;Imalytics Preclinical: Interactive Analysis of Biomedical Volume Data&lt;/title&gt;&lt;secondary-title&gt;Theranostics&lt;/secondary-title&gt;&lt;/titles&gt;&lt;pages&gt;328-41&lt;/pages&gt;&lt;number&gt;3&lt;/number&gt;&lt;contributors&gt;&lt;authors&gt;&lt;author&gt;Gremse, F.&lt;/author&gt;&lt;author&gt;Stärk, M.&lt;/author&gt;&lt;author&gt;Ehling, J.&lt;/author&gt;&lt;author&gt;Menzel, J. R.&lt;/author&gt;&lt;author&gt;Lammers, T.&lt;/author&gt;&lt;author&gt;Kiessling, F.&lt;/author&gt;&lt;/authors&gt;&lt;/contributors&gt;&lt;edition&gt;2016/01/01&lt;/edition&gt;&lt;language&gt;eng&lt;/language&gt;&lt;added-date format="utc"&gt;1557485777&lt;/added-date&gt;&lt;ref-type name="Journal Article"&gt;17&lt;/ref-type&gt;&lt;dates&gt;&lt;year&gt;2016&lt;/year&gt;&lt;/dates&gt;&lt;rec-number&gt;1436&lt;/rec-number&gt;&lt;last-updated-date format="utc"&gt;1557485777&lt;/last-updated-date&gt;&lt;accession-num&gt;26909109&lt;/accession-num&gt;&lt;electronic-resource-num&gt;10.7150/thno.13624&lt;/electronic-resource-num&gt;&lt;volume&gt;6&lt;/volume&gt;&lt;/record&gt;&lt;/Cite&gt;&lt;/EndNote&gt;</w:instrText>
      </w:r>
      <w:r w:rsidR="003E7136" w:rsidRPr="00855254">
        <w:rPr>
          <w:rFonts w:ascii="Arial" w:eastAsia="Times New Roman" w:hAnsi="Arial" w:cs="Arial"/>
          <w:color w:val="000000" w:themeColor="text1"/>
          <w:sz w:val="24"/>
          <w:szCs w:val="24"/>
          <w:lang w:val="en-US"/>
        </w:rPr>
        <w:fldChar w:fldCharType="separate"/>
      </w:r>
      <w:r w:rsidRPr="00855254">
        <w:rPr>
          <w:rFonts w:ascii="Arial" w:eastAsia="Times New Roman" w:hAnsi="Arial" w:cs="Arial"/>
          <w:noProof/>
          <w:color w:val="000000" w:themeColor="text1"/>
          <w:sz w:val="24"/>
          <w:szCs w:val="24"/>
          <w:vertAlign w:val="superscript"/>
          <w:lang w:val="en-US"/>
        </w:rPr>
        <w:t>3</w:t>
      </w:r>
      <w:r w:rsidR="003E7136" w:rsidRPr="00855254">
        <w:rPr>
          <w:rFonts w:ascii="Arial" w:eastAsia="Times New Roman" w:hAnsi="Arial" w:cs="Arial"/>
          <w:color w:val="000000" w:themeColor="text1"/>
          <w:sz w:val="24"/>
          <w:szCs w:val="24"/>
          <w:lang w:val="en-US"/>
        </w:rPr>
        <w:fldChar w:fldCharType="end"/>
      </w:r>
      <w:r w:rsidRPr="00855254">
        <w:rPr>
          <w:rFonts w:ascii="Arial" w:eastAsia="Times New Roman" w:hAnsi="Arial" w:cs="Arial"/>
          <w:color w:val="000000" w:themeColor="text1"/>
          <w:sz w:val="24"/>
          <w:szCs w:val="24"/>
          <w:lang w:val="en-US"/>
        </w:rPr>
        <w:t xml:space="preserve"> </w:t>
      </w:r>
    </w:p>
    <w:p w:rsidR="00B575DF" w:rsidRDefault="00B575DF" w:rsidP="0074227D">
      <w:pPr>
        <w:spacing w:line="480" w:lineRule="auto"/>
        <w:jc w:val="both"/>
        <w:rPr>
          <w:rFonts w:ascii="Arial" w:hAnsi="Arial" w:cs="Arial"/>
          <w:b/>
          <w:sz w:val="24"/>
          <w:szCs w:val="24"/>
          <w:lang w:val="en-US"/>
        </w:rPr>
      </w:pPr>
    </w:p>
    <w:p w:rsidR="0074227D" w:rsidRPr="00855254" w:rsidRDefault="0074227D" w:rsidP="0074227D">
      <w:pPr>
        <w:spacing w:line="480" w:lineRule="auto"/>
        <w:jc w:val="both"/>
        <w:rPr>
          <w:rFonts w:ascii="Arial" w:hAnsi="Arial" w:cs="Arial"/>
          <w:sz w:val="24"/>
          <w:szCs w:val="24"/>
          <w:lang w:val="en-US"/>
        </w:rPr>
      </w:pPr>
      <w:r w:rsidRPr="00855254">
        <w:rPr>
          <w:rFonts w:ascii="Arial" w:hAnsi="Arial" w:cs="Arial"/>
          <w:b/>
          <w:sz w:val="24"/>
          <w:szCs w:val="24"/>
          <w:lang w:val="en-US"/>
        </w:rPr>
        <w:t>Microscopic imaging data</w:t>
      </w:r>
      <w:r w:rsidR="00B575DF">
        <w:rPr>
          <w:rFonts w:ascii="Arial" w:hAnsi="Arial" w:cs="Arial"/>
          <w:b/>
          <w:sz w:val="24"/>
          <w:szCs w:val="24"/>
          <w:lang w:val="en-US"/>
        </w:rPr>
        <w:t xml:space="preserve">. </w:t>
      </w:r>
      <w:r w:rsidRPr="00855254">
        <w:rPr>
          <w:rFonts w:ascii="Arial" w:hAnsi="Arial" w:cs="Arial"/>
          <w:sz w:val="24"/>
          <w:szCs w:val="24"/>
          <w:lang w:val="en-US"/>
        </w:rPr>
        <w:t xml:space="preserve">For bright field image acquisition the microscope Imager.A2 with the following objective lenses by Carl Zeiss AG (Oberkochen) were used: Plan-APOCHROMAT 5x/0,16; 10X/0,45; 20x/0,6; 40x/0,95. The camera ‘Axiocam 506 color’ was used for image acquisition. For fluorescent image acquisition the microscope Imager.Z1 with the following objective lense by Carl Zeiss AG (Oberkochen) was used: EC Plan-NEOFLUAR 20x/0,5. The camera ‘Axiocam MRm’ was used for image acquisition. Images were taken at room temperature and the software AxioVision by Carl Zeiss AG (Oberkochen) was used. </w:t>
      </w:r>
    </w:p>
    <w:p w:rsidR="0074227D" w:rsidRDefault="0074227D" w:rsidP="0074227D">
      <w:pPr>
        <w:spacing w:line="256" w:lineRule="auto"/>
        <w:rPr>
          <w:rFonts w:ascii="Arial" w:hAnsi="Arial" w:cs="Arial"/>
          <w:sz w:val="24"/>
          <w:szCs w:val="24"/>
          <w:lang w:val="en-US"/>
        </w:rPr>
      </w:pPr>
    </w:p>
    <w:p w:rsidR="006E5C5A" w:rsidRDefault="006E5C5A" w:rsidP="0074227D">
      <w:pPr>
        <w:spacing w:line="256" w:lineRule="auto"/>
        <w:rPr>
          <w:rFonts w:ascii="Arial" w:hAnsi="Arial" w:cs="Arial"/>
          <w:b/>
          <w:sz w:val="24"/>
          <w:szCs w:val="24"/>
          <w:lang w:val="en-US"/>
        </w:rPr>
      </w:pPr>
    </w:p>
    <w:p w:rsidR="006E5C5A" w:rsidRDefault="006E5C5A" w:rsidP="0074227D">
      <w:pPr>
        <w:spacing w:line="256" w:lineRule="auto"/>
        <w:rPr>
          <w:rFonts w:ascii="Arial" w:hAnsi="Arial" w:cs="Arial"/>
          <w:b/>
          <w:sz w:val="24"/>
          <w:szCs w:val="24"/>
          <w:lang w:val="en-US"/>
        </w:rPr>
      </w:pPr>
    </w:p>
    <w:p w:rsidR="006E5C5A" w:rsidRDefault="006E5C5A" w:rsidP="0074227D">
      <w:pPr>
        <w:spacing w:line="256" w:lineRule="auto"/>
        <w:rPr>
          <w:rFonts w:ascii="Arial" w:hAnsi="Arial" w:cs="Arial"/>
          <w:b/>
          <w:sz w:val="24"/>
          <w:szCs w:val="24"/>
          <w:lang w:val="en-US"/>
        </w:rPr>
      </w:pPr>
    </w:p>
    <w:p w:rsidR="006E5C5A" w:rsidRDefault="006E5C5A" w:rsidP="0074227D">
      <w:pPr>
        <w:spacing w:line="256" w:lineRule="auto"/>
        <w:rPr>
          <w:rFonts w:ascii="Arial" w:hAnsi="Arial" w:cs="Arial"/>
          <w:b/>
          <w:sz w:val="24"/>
          <w:szCs w:val="24"/>
          <w:lang w:val="en-US"/>
        </w:rPr>
      </w:pPr>
    </w:p>
    <w:p w:rsidR="004C0DFB" w:rsidRPr="004C0DFB" w:rsidRDefault="004C0DFB" w:rsidP="0074227D">
      <w:pPr>
        <w:spacing w:line="256" w:lineRule="auto"/>
        <w:rPr>
          <w:rFonts w:ascii="Arial" w:hAnsi="Arial" w:cs="Arial"/>
          <w:b/>
          <w:sz w:val="24"/>
          <w:szCs w:val="24"/>
          <w:lang w:val="en-US"/>
        </w:rPr>
      </w:pPr>
      <w:r w:rsidRPr="004C0DFB">
        <w:rPr>
          <w:rFonts w:ascii="Arial" w:hAnsi="Arial" w:cs="Arial"/>
          <w:b/>
          <w:sz w:val="24"/>
          <w:szCs w:val="24"/>
          <w:lang w:val="en-US"/>
        </w:rPr>
        <w:lastRenderedPageBreak/>
        <w:t>SUPPLEMENTARY TABLE</w:t>
      </w:r>
      <w:r w:rsidR="00A67342">
        <w:rPr>
          <w:rFonts w:ascii="Arial" w:hAnsi="Arial" w:cs="Arial"/>
          <w:b/>
          <w:sz w:val="24"/>
          <w:szCs w:val="24"/>
          <w:lang w:val="en-US"/>
        </w:rPr>
        <w:t>S</w:t>
      </w:r>
    </w:p>
    <w:p w:rsidR="004C0DFB" w:rsidRPr="008B5EF8" w:rsidRDefault="004C0DFB" w:rsidP="00A67342">
      <w:pPr>
        <w:pStyle w:val="Ttulo1"/>
        <w:spacing w:line="360" w:lineRule="auto"/>
        <w:jc w:val="both"/>
        <w:rPr>
          <w:rFonts w:ascii="Arial" w:eastAsiaTheme="minorEastAsia" w:hAnsi="Arial" w:cs="Arial"/>
          <w:color w:val="auto"/>
          <w:sz w:val="24"/>
          <w:szCs w:val="24"/>
          <w:lang w:val="en-GB"/>
        </w:rPr>
      </w:pPr>
      <w:r w:rsidRPr="004C0DFB">
        <w:rPr>
          <w:rFonts w:ascii="Arial" w:hAnsi="Arial" w:cs="Arial"/>
          <w:b/>
          <w:iCs/>
          <w:color w:val="000000" w:themeColor="text1"/>
          <w:sz w:val="24"/>
          <w:szCs w:val="18"/>
          <w:lang w:val="en-US"/>
        </w:rPr>
        <w:t>Supplementary</w:t>
      </w:r>
      <w:r>
        <w:rPr>
          <w:rFonts w:ascii="Arial" w:hAnsi="Arial" w:cs="Arial"/>
          <w:b/>
          <w:iCs/>
          <w:color w:val="000000" w:themeColor="text1"/>
          <w:sz w:val="24"/>
          <w:szCs w:val="18"/>
          <w:lang w:val="en-US"/>
        </w:rPr>
        <w:t xml:space="preserve"> </w:t>
      </w:r>
      <w:r w:rsidRPr="004C0DFB">
        <w:rPr>
          <w:rFonts w:ascii="Arial" w:hAnsi="Arial" w:cs="Arial"/>
          <w:b/>
          <w:iCs/>
          <w:color w:val="000000" w:themeColor="text1"/>
          <w:sz w:val="24"/>
          <w:szCs w:val="18"/>
          <w:lang w:val="en-US"/>
        </w:rPr>
        <w:t xml:space="preserve">Table </w:t>
      </w:r>
      <w:r w:rsidR="003E7136" w:rsidRPr="0074227D">
        <w:rPr>
          <w:rFonts w:ascii="Arial" w:hAnsi="Arial" w:cs="Arial"/>
          <w:b/>
          <w:iCs/>
          <w:color w:val="000000" w:themeColor="text1"/>
          <w:sz w:val="24"/>
          <w:szCs w:val="18"/>
        </w:rPr>
        <w:fldChar w:fldCharType="begin"/>
      </w:r>
      <w:r w:rsidRPr="004C0DFB">
        <w:rPr>
          <w:rFonts w:ascii="Arial" w:hAnsi="Arial" w:cs="Arial"/>
          <w:b/>
          <w:iCs/>
          <w:color w:val="000000" w:themeColor="text1"/>
          <w:sz w:val="24"/>
          <w:szCs w:val="18"/>
          <w:lang w:val="en-US"/>
        </w:rPr>
        <w:instrText xml:space="preserve"> SEQ Table \* ARABIC </w:instrText>
      </w:r>
      <w:r w:rsidR="003E7136" w:rsidRPr="0074227D">
        <w:rPr>
          <w:rFonts w:ascii="Arial" w:hAnsi="Arial" w:cs="Arial"/>
          <w:b/>
          <w:iCs/>
          <w:color w:val="000000" w:themeColor="text1"/>
          <w:sz w:val="24"/>
          <w:szCs w:val="18"/>
        </w:rPr>
        <w:fldChar w:fldCharType="separate"/>
      </w:r>
      <w:r w:rsidRPr="004C0DFB">
        <w:rPr>
          <w:rFonts w:ascii="Arial" w:hAnsi="Arial" w:cs="Arial"/>
          <w:b/>
          <w:iCs/>
          <w:noProof/>
          <w:color w:val="000000" w:themeColor="text1"/>
          <w:sz w:val="24"/>
          <w:szCs w:val="18"/>
          <w:lang w:val="en-US"/>
        </w:rPr>
        <w:t>1</w:t>
      </w:r>
      <w:r w:rsidR="003E7136" w:rsidRPr="0074227D">
        <w:rPr>
          <w:rFonts w:ascii="Arial" w:hAnsi="Arial" w:cs="Arial"/>
          <w:b/>
          <w:iCs/>
          <w:color w:val="000000" w:themeColor="text1"/>
          <w:sz w:val="24"/>
          <w:szCs w:val="18"/>
        </w:rPr>
        <w:fldChar w:fldCharType="end"/>
      </w:r>
      <w:r w:rsidRPr="004C0DFB">
        <w:rPr>
          <w:rFonts w:ascii="Arial" w:hAnsi="Arial" w:cs="Arial"/>
          <w:b/>
          <w:iCs/>
          <w:color w:val="000000" w:themeColor="text1"/>
          <w:sz w:val="24"/>
          <w:szCs w:val="18"/>
          <w:lang w:val="en-US"/>
        </w:rPr>
        <w:t>.</w:t>
      </w:r>
      <w:r w:rsidRPr="004C0DFB">
        <w:rPr>
          <w:rFonts w:ascii="Arial" w:hAnsi="Arial" w:cs="Arial"/>
          <w:iCs/>
          <w:color w:val="000000" w:themeColor="text1"/>
          <w:sz w:val="24"/>
          <w:szCs w:val="18"/>
          <w:lang w:val="en-US"/>
        </w:rPr>
        <w:t xml:space="preserve"> siRNA sequences targeting </w:t>
      </w:r>
      <w:r w:rsidRPr="004C0DFB">
        <w:rPr>
          <w:rFonts w:ascii="Arial" w:hAnsi="Arial" w:cs="Arial"/>
          <w:i/>
          <w:iCs/>
          <w:color w:val="000000" w:themeColor="text1"/>
          <w:sz w:val="24"/>
          <w:szCs w:val="18"/>
          <w:lang w:val="en-US"/>
        </w:rPr>
        <w:t>Jnk2</w:t>
      </w:r>
      <w:r>
        <w:rPr>
          <w:rFonts w:ascii="Arial" w:hAnsi="Arial" w:cs="Arial"/>
          <w:i/>
          <w:iCs/>
          <w:color w:val="000000" w:themeColor="text1"/>
          <w:sz w:val="24"/>
          <w:szCs w:val="18"/>
          <w:lang w:val="en-US"/>
        </w:rPr>
        <w:t xml:space="preserve">. </w:t>
      </w:r>
      <w:r w:rsidRPr="008B5EF8">
        <w:rPr>
          <w:rFonts w:ascii="Arial" w:eastAsia="Calibri" w:hAnsi="Arial" w:cs="Arial"/>
          <w:color w:val="auto"/>
          <w:sz w:val="24"/>
          <w:szCs w:val="24"/>
          <w:lang w:val="en-US"/>
        </w:rPr>
        <w:t xml:space="preserve">Bioinformatics-based sequence design for the inhibiting </w:t>
      </w:r>
      <w:r w:rsidRPr="008B5EF8">
        <w:rPr>
          <w:rFonts w:ascii="Arial" w:eastAsia="Calibri" w:hAnsi="Arial" w:cs="Arial"/>
          <w:i/>
          <w:color w:val="auto"/>
          <w:sz w:val="24"/>
          <w:szCs w:val="24"/>
          <w:lang w:val="en-US"/>
        </w:rPr>
        <w:t>Jnk2</w:t>
      </w:r>
      <w:r w:rsidRPr="008B5EF8">
        <w:rPr>
          <w:rFonts w:ascii="Arial" w:eastAsia="Calibri" w:hAnsi="Arial" w:cs="Arial"/>
          <w:color w:val="auto"/>
          <w:sz w:val="24"/>
          <w:szCs w:val="24"/>
          <w:lang w:val="en-US"/>
        </w:rPr>
        <w:t xml:space="preserve"> mRNA resulted in 12 different siRNA sets binding to different sequences within the mRNA of JNK2 including possible cross-species reactivity (upper table). From these sequences, 12 different siRNA sets were synthesized and tested first in </w:t>
      </w:r>
      <w:r w:rsidRPr="008B5EF8">
        <w:rPr>
          <w:rFonts w:ascii="Arial" w:eastAsia="Calibri" w:hAnsi="Arial" w:cs="Arial"/>
          <w:i/>
          <w:color w:val="auto"/>
          <w:sz w:val="24"/>
          <w:szCs w:val="24"/>
          <w:lang w:val="en-US"/>
        </w:rPr>
        <w:t>in vitro</w:t>
      </w:r>
      <w:r w:rsidRPr="008B5EF8">
        <w:rPr>
          <w:rFonts w:ascii="Arial" w:eastAsia="Calibri" w:hAnsi="Arial" w:cs="Arial"/>
          <w:color w:val="auto"/>
          <w:sz w:val="24"/>
          <w:szCs w:val="24"/>
          <w:lang w:val="en-US"/>
        </w:rPr>
        <w:t xml:space="preserve"> experiments. </w:t>
      </w:r>
      <w:r w:rsidRPr="00855254">
        <w:rPr>
          <w:rFonts w:ascii="Arial" w:eastAsiaTheme="minorEastAsia" w:hAnsi="Arial" w:cs="Arial"/>
          <w:color w:val="auto"/>
          <w:sz w:val="24"/>
          <w:szCs w:val="24"/>
          <w:lang w:val="en-US"/>
        </w:rPr>
        <w:t xml:space="preserve">A, G, U, C: RNA Nucleotide; a, g, u, c: 2‘-O-methyl-Nucleotide; </w:t>
      </w:r>
      <w:r w:rsidRPr="008B5EF8">
        <w:rPr>
          <w:rFonts w:ascii="Arial" w:eastAsiaTheme="minorEastAsia" w:hAnsi="Arial" w:cs="Arial"/>
          <w:color w:val="auto"/>
          <w:sz w:val="24"/>
          <w:szCs w:val="24"/>
          <w:lang w:val="en-GB"/>
        </w:rPr>
        <w:t>s: Phosphorothioate; T: desoxy-T residue.</w:t>
      </w:r>
      <w:r w:rsidR="00A67342">
        <w:rPr>
          <w:rFonts w:ascii="Arial" w:eastAsiaTheme="minorEastAsia" w:hAnsi="Arial" w:cs="Arial"/>
          <w:color w:val="auto"/>
          <w:sz w:val="24"/>
          <w:szCs w:val="24"/>
          <w:lang w:val="en-GB"/>
        </w:rPr>
        <w:t xml:space="preserve"> </w:t>
      </w:r>
      <w:r w:rsidRPr="008B5EF8">
        <w:rPr>
          <w:rFonts w:ascii="Arial" w:eastAsiaTheme="minorEastAsia" w:hAnsi="Arial" w:cs="Arial"/>
          <w:color w:val="auto"/>
          <w:sz w:val="24"/>
          <w:szCs w:val="24"/>
          <w:lang w:val="en-GB"/>
        </w:rPr>
        <w:t xml:space="preserve">siRNA set number 3 was chosen for KL52 lipid nanoparticles (LNP) formulation according to the manufacturer's protocol. For the long-term experiments, a total dose of 0.2 mg/kg BW of </w:t>
      </w:r>
      <w:r w:rsidRPr="008B5EF8">
        <w:rPr>
          <w:rFonts w:ascii="Arial" w:eastAsiaTheme="minorEastAsia" w:hAnsi="Arial" w:cs="Arial"/>
          <w:i/>
          <w:color w:val="auto"/>
          <w:sz w:val="24"/>
          <w:szCs w:val="24"/>
          <w:lang w:val="en-GB"/>
        </w:rPr>
        <w:t>siJnk2</w:t>
      </w:r>
      <w:r w:rsidRPr="008B5EF8">
        <w:rPr>
          <w:rFonts w:ascii="Arial" w:eastAsiaTheme="minorEastAsia" w:hAnsi="Arial" w:cs="Arial"/>
          <w:color w:val="auto"/>
          <w:sz w:val="24"/>
          <w:szCs w:val="24"/>
          <w:lang w:val="en-GB"/>
        </w:rPr>
        <w:t xml:space="preserve">-LNP was dissolved in PBS (PAN-Biotech) and injected </w:t>
      </w:r>
      <w:r w:rsidRPr="008B5EF8">
        <w:rPr>
          <w:rFonts w:ascii="Arial" w:eastAsiaTheme="minorEastAsia" w:hAnsi="Arial" w:cs="Arial"/>
          <w:i/>
          <w:color w:val="auto"/>
          <w:sz w:val="24"/>
          <w:szCs w:val="24"/>
          <w:lang w:val="en-GB"/>
        </w:rPr>
        <w:t>i.v.</w:t>
      </w:r>
      <w:r w:rsidRPr="008B5EF8">
        <w:rPr>
          <w:rFonts w:ascii="Arial" w:eastAsiaTheme="minorEastAsia" w:hAnsi="Arial" w:cs="Arial"/>
          <w:color w:val="auto"/>
          <w:sz w:val="24"/>
          <w:szCs w:val="24"/>
          <w:lang w:val="en-GB"/>
        </w:rPr>
        <w:t xml:space="preserve"> (tail vein) once per week. In parallel, a control siRNA against luciferase (siLuc) was used.</w:t>
      </w:r>
    </w:p>
    <w:p w:rsidR="004C0DFB" w:rsidRPr="004C0DFB" w:rsidRDefault="004C0DFB" w:rsidP="004C0DFB">
      <w:pPr>
        <w:keepNext/>
        <w:spacing w:after="200" w:line="240" w:lineRule="auto"/>
        <w:rPr>
          <w:rFonts w:ascii="Arial" w:hAnsi="Arial" w:cs="Arial"/>
          <w:iCs/>
          <w:color w:val="000000" w:themeColor="text1"/>
          <w:sz w:val="24"/>
          <w:szCs w:val="18"/>
          <w:lang w:val="en-GB"/>
        </w:rPr>
      </w:pPr>
    </w:p>
    <w:tbl>
      <w:tblPr>
        <w:tblStyle w:val="Tablaconcuadrcula"/>
        <w:tblW w:w="8999" w:type="dxa"/>
        <w:jc w:val="center"/>
        <w:tblLook w:val="04A0" w:firstRow="1" w:lastRow="0" w:firstColumn="1" w:lastColumn="0" w:noHBand="0" w:noVBand="1"/>
      </w:tblPr>
      <w:tblGrid>
        <w:gridCol w:w="1097"/>
        <w:gridCol w:w="3778"/>
        <w:gridCol w:w="4124"/>
      </w:tblGrid>
      <w:tr w:rsidR="004C0DFB" w:rsidRPr="0074227D" w:rsidTr="00A67342">
        <w:trPr>
          <w:trHeight w:val="370"/>
          <w:jc w:val="center"/>
        </w:trPr>
        <w:tc>
          <w:tcPr>
            <w:tcW w:w="1097" w:type="dxa"/>
            <w:tcBorders>
              <w:top w:val="single" w:sz="4" w:space="0" w:color="auto"/>
              <w:left w:val="single" w:sz="4" w:space="0" w:color="auto"/>
              <w:bottom w:val="single" w:sz="4" w:space="0" w:color="auto"/>
              <w:right w:val="single" w:sz="4" w:space="0" w:color="auto"/>
            </w:tcBorders>
            <w:noWrap/>
            <w:hideMark/>
          </w:tcPr>
          <w:p w:rsidR="004C0DFB" w:rsidRPr="004C0DFB" w:rsidRDefault="004C0DFB" w:rsidP="00351954">
            <w:pPr>
              <w:rPr>
                <w:lang w:val="en-US"/>
              </w:rPr>
            </w:pPr>
          </w:p>
        </w:tc>
        <w:tc>
          <w:tcPr>
            <w:tcW w:w="7902" w:type="dxa"/>
            <w:gridSpan w:val="2"/>
            <w:tcBorders>
              <w:top w:val="single" w:sz="4" w:space="0" w:color="auto"/>
              <w:left w:val="single" w:sz="4" w:space="0" w:color="auto"/>
              <w:bottom w:val="single" w:sz="4" w:space="0" w:color="auto"/>
              <w:right w:val="single" w:sz="4" w:space="0" w:color="auto"/>
            </w:tcBorders>
            <w:noWrap/>
            <w:hideMark/>
          </w:tcPr>
          <w:p w:rsidR="004C0DFB" w:rsidRPr="0074227D" w:rsidRDefault="004C0DFB" w:rsidP="00351954">
            <w:pPr>
              <w:spacing w:line="480" w:lineRule="auto"/>
              <w:jc w:val="center"/>
              <w:rPr>
                <w:rFonts w:ascii="Arial" w:hAnsi="Arial" w:cs="Arial"/>
                <w:b/>
                <w:bCs/>
                <w:sz w:val="24"/>
                <w:szCs w:val="24"/>
              </w:rPr>
            </w:pPr>
            <w:r w:rsidRPr="0074227D">
              <w:rPr>
                <w:rFonts w:ascii="Arial" w:hAnsi="Arial" w:cs="Arial"/>
                <w:b/>
                <w:bCs/>
                <w:sz w:val="24"/>
                <w:szCs w:val="24"/>
              </w:rPr>
              <w:t>Synthesized siRNA strand</w:t>
            </w:r>
          </w:p>
        </w:tc>
      </w:tr>
      <w:tr w:rsidR="004C0DFB" w:rsidRPr="0074227D" w:rsidTr="00351954">
        <w:trPr>
          <w:trHeight w:val="780"/>
          <w:jc w:val="center"/>
        </w:trPr>
        <w:tc>
          <w:tcPr>
            <w:tcW w:w="1097" w:type="dxa"/>
            <w:tcBorders>
              <w:top w:val="single" w:sz="4" w:space="0" w:color="auto"/>
              <w:left w:val="single" w:sz="4" w:space="0" w:color="auto"/>
              <w:bottom w:val="single" w:sz="4" w:space="0" w:color="auto"/>
              <w:right w:val="single" w:sz="4" w:space="0" w:color="auto"/>
            </w:tcBorders>
            <w:hideMark/>
          </w:tcPr>
          <w:p w:rsidR="004C0DFB" w:rsidRPr="0074227D" w:rsidRDefault="006E5C5A" w:rsidP="00A67342">
            <w:pPr>
              <w:jc w:val="center"/>
              <w:rPr>
                <w:rFonts w:ascii="Arial" w:hAnsi="Arial" w:cs="Arial"/>
                <w:b/>
                <w:bCs/>
                <w:sz w:val="24"/>
                <w:szCs w:val="24"/>
              </w:rPr>
            </w:pPr>
            <w:r>
              <w:rPr>
                <w:rFonts w:ascii="Arial" w:hAnsi="Arial" w:cs="Arial"/>
                <w:b/>
                <w:bCs/>
                <w:sz w:val="24"/>
                <w:szCs w:val="24"/>
              </w:rPr>
              <w:t>siRNA set#</w:t>
            </w:r>
          </w:p>
        </w:tc>
        <w:tc>
          <w:tcPr>
            <w:tcW w:w="3778" w:type="dxa"/>
            <w:tcBorders>
              <w:top w:val="single" w:sz="4" w:space="0" w:color="auto"/>
              <w:left w:val="single" w:sz="4" w:space="0" w:color="auto"/>
              <w:bottom w:val="single" w:sz="4" w:space="0" w:color="auto"/>
              <w:right w:val="single" w:sz="4" w:space="0" w:color="auto"/>
            </w:tcBorders>
            <w:hideMark/>
          </w:tcPr>
          <w:p w:rsidR="004C0DFB" w:rsidRPr="0074227D" w:rsidRDefault="004C0DFB" w:rsidP="00A67342">
            <w:pPr>
              <w:jc w:val="center"/>
              <w:rPr>
                <w:rFonts w:ascii="Arial" w:hAnsi="Arial" w:cs="Arial"/>
                <w:b/>
                <w:bCs/>
                <w:sz w:val="24"/>
                <w:szCs w:val="24"/>
              </w:rPr>
            </w:pPr>
            <w:r w:rsidRPr="0074227D">
              <w:rPr>
                <w:rFonts w:ascii="Arial" w:hAnsi="Arial" w:cs="Arial"/>
                <w:b/>
                <w:bCs/>
                <w:sz w:val="24"/>
                <w:szCs w:val="24"/>
              </w:rPr>
              <w:t>sense strand sequence</w:t>
            </w:r>
            <w:r w:rsidRPr="0074227D">
              <w:rPr>
                <w:rFonts w:ascii="Arial" w:hAnsi="Arial" w:cs="Arial"/>
                <w:b/>
                <w:bCs/>
                <w:sz w:val="24"/>
                <w:szCs w:val="24"/>
              </w:rPr>
              <w:br/>
              <w:t>(5´-3´)</w:t>
            </w:r>
          </w:p>
        </w:tc>
        <w:tc>
          <w:tcPr>
            <w:tcW w:w="4124" w:type="dxa"/>
            <w:tcBorders>
              <w:top w:val="single" w:sz="4" w:space="0" w:color="auto"/>
              <w:left w:val="single" w:sz="4" w:space="0" w:color="auto"/>
              <w:bottom w:val="single" w:sz="4" w:space="0" w:color="auto"/>
              <w:right w:val="single" w:sz="4" w:space="0" w:color="auto"/>
            </w:tcBorders>
            <w:hideMark/>
          </w:tcPr>
          <w:p w:rsidR="004C0DFB" w:rsidRPr="0074227D" w:rsidRDefault="004C0DFB" w:rsidP="00A67342">
            <w:pPr>
              <w:jc w:val="center"/>
              <w:rPr>
                <w:rFonts w:ascii="Arial" w:hAnsi="Arial" w:cs="Arial"/>
                <w:b/>
                <w:bCs/>
                <w:sz w:val="24"/>
                <w:szCs w:val="24"/>
              </w:rPr>
            </w:pPr>
            <w:r w:rsidRPr="0074227D">
              <w:rPr>
                <w:rFonts w:ascii="Arial" w:hAnsi="Arial" w:cs="Arial"/>
                <w:b/>
                <w:bCs/>
                <w:sz w:val="24"/>
                <w:szCs w:val="24"/>
              </w:rPr>
              <w:t xml:space="preserve">antisense strand sequence </w:t>
            </w:r>
            <w:r w:rsidRPr="0074227D">
              <w:rPr>
                <w:rFonts w:ascii="Arial" w:hAnsi="Arial" w:cs="Arial"/>
                <w:b/>
                <w:bCs/>
                <w:sz w:val="24"/>
                <w:szCs w:val="24"/>
              </w:rPr>
              <w:br/>
              <w:t>(5´-3´)</w:t>
            </w:r>
          </w:p>
        </w:tc>
      </w:tr>
      <w:tr w:rsidR="004C0DFB" w:rsidRPr="0074227D" w:rsidTr="00351954">
        <w:trPr>
          <w:trHeight w:val="270"/>
          <w:jc w:val="center"/>
        </w:trPr>
        <w:tc>
          <w:tcPr>
            <w:tcW w:w="1097"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center"/>
              <w:rPr>
                <w:rFonts w:ascii="Arial" w:hAnsi="Arial" w:cs="Arial"/>
                <w:sz w:val="24"/>
                <w:szCs w:val="24"/>
              </w:rPr>
            </w:pPr>
            <w:r w:rsidRPr="0074227D">
              <w:rPr>
                <w:rFonts w:ascii="Arial" w:hAnsi="Arial" w:cs="Arial"/>
                <w:sz w:val="24"/>
                <w:szCs w:val="24"/>
              </w:rPr>
              <w:t>1</w:t>
            </w:r>
          </w:p>
        </w:tc>
        <w:tc>
          <w:tcPr>
            <w:tcW w:w="3778"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both"/>
              <w:rPr>
                <w:rFonts w:ascii="Arial" w:hAnsi="Arial" w:cs="Arial"/>
                <w:sz w:val="24"/>
                <w:szCs w:val="24"/>
              </w:rPr>
            </w:pPr>
            <w:r w:rsidRPr="0074227D">
              <w:rPr>
                <w:rFonts w:ascii="Arial" w:hAnsi="Arial" w:cs="Arial"/>
                <w:sz w:val="24"/>
                <w:szCs w:val="24"/>
              </w:rPr>
              <w:t>cuuAAAGuGuGucaAucAudTsdT</w:t>
            </w:r>
          </w:p>
        </w:tc>
        <w:tc>
          <w:tcPr>
            <w:tcW w:w="4124"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both"/>
              <w:rPr>
                <w:rFonts w:ascii="Arial" w:hAnsi="Arial" w:cs="Arial"/>
                <w:sz w:val="24"/>
                <w:szCs w:val="24"/>
              </w:rPr>
            </w:pPr>
            <w:r w:rsidRPr="0074227D">
              <w:rPr>
                <w:rFonts w:ascii="Arial" w:hAnsi="Arial" w:cs="Arial"/>
                <w:sz w:val="24"/>
                <w:szCs w:val="24"/>
              </w:rPr>
              <w:t>AUGAUUGAcAcACUUuAAGdTsdT</w:t>
            </w:r>
          </w:p>
        </w:tc>
      </w:tr>
      <w:tr w:rsidR="004C0DFB" w:rsidRPr="0074227D" w:rsidTr="00351954">
        <w:trPr>
          <w:trHeight w:val="270"/>
          <w:jc w:val="center"/>
        </w:trPr>
        <w:tc>
          <w:tcPr>
            <w:tcW w:w="1097"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center"/>
              <w:rPr>
                <w:rFonts w:ascii="Arial" w:hAnsi="Arial" w:cs="Arial"/>
                <w:sz w:val="24"/>
                <w:szCs w:val="24"/>
              </w:rPr>
            </w:pPr>
            <w:r w:rsidRPr="0074227D">
              <w:rPr>
                <w:rFonts w:ascii="Arial" w:hAnsi="Arial" w:cs="Arial"/>
                <w:sz w:val="24"/>
                <w:szCs w:val="24"/>
              </w:rPr>
              <w:t>2</w:t>
            </w:r>
          </w:p>
        </w:tc>
        <w:tc>
          <w:tcPr>
            <w:tcW w:w="3778"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both"/>
              <w:rPr>
                <w:rFonts w:ascii="Arial" w:hAnsi="Arial" w:cs="Arial"/>
                <w:sz w:val="24"/>
                <w:szCs w:val="24"/>
              </w:rPr>
            </w:pPr>
            <w:r w:rsidRPr="0074227D">
              <w:rPr>
                <w:rFonts w:ascii="Arial" w:hAnsi="Arial" w:cs="Arial"/>
                <w:sz w:val="24"/>
                <w:szCs w:val="24"/>
              </w:rPr>
              <w:t>uaAcuuAuGucAGguuAuudTsdT</w:t>
            </w:r>
          </w:p>
        </w:tc>
        <w:tc>
          <w:tcPr>
            <w:tcW w:w="4124"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both"/>
              <w:rPr>
                <w:rFonts w:ascii="Arial" w:hAnsi="Arial" w:cs="Arial"/>
                <w:sz w:val="24"/>
                <w:szCs w:val="24"/>
              </w:rPr>
            </w:pPr>
            <w:r w:rsidRPr="0074227D">
              <w:rPr>
                <w:rFonts w:ascii="Arial" w:hAnsi="Arial" w:cs="Arial"/>
                <w:sz w:val="24"/>
                <w:szCs w:val="24"/>
              </w:rPr>
              <w:t>AAuAACCUGAcAuAAGUuAdTsdT</w:t>
            </w:r>
          </w:p>
        </w:tc>
      </w:tr>
      <w:tr w:rsidR="004C0DFB" w:rsidRPr="0074227D" w:rsidTr="00351954">
        <w:trPr>
          <w:trHeight w:val="270"/>
          <w:jc w:val="center"/>
        </w:trPr>
        <w:tc>
          <w:tcPr>
            <w:tcW w:w="1097"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center"/>
              <w:rPr>
                <w:rFonts w:ascii="Arial" w:hAnsi="Arial" w:cs="Arial"/>
                <w:sz w:val="24"/>
                <w:szCs w:val="24"/>
              </w:rPr>
            </w:pPr>
            <w:r w:rsidRPr="0074227D">
              <w:rPr>
                <w:rFonts w:ascii="Arial" w:hAnsi="Arial" w:cs="Arial"/>
                <w:sz w:val="24"/>
                <w:szCs w:val="24"/>
              </w:rPr>
              <w:t>3</w:t>
            </w:r>
          </w:p>
        </w:tc>
        <w:tc>
          <w:tcPr>
            <w:tcW w:w="3778"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both"/>
              <w:rPr>
                <w:rFonts w:ascii="Arial" w:hAnsi="Arial" w:cs="Arial"/>
                <w:sz w:val="24"/>
                <w:szCs w:val="24"/>
              </w:rPr>
            </w:pPr>
            <w:r w:rsidRPr="0074227D">
              <w:rPr>
                <w:rFonts w:ascii="Arial" w:hAnsi="Arial" w:cs="Arial"/>
                <w:sz w:val="24"/>
                <w:szCs w:val="24"/>
              </w:rPr>
              <w:t>cuAGcAAcAuuGuaGuAAAdTsdT</w:t>
            </w:r>
          </w:p>
        </w:tc>
        <w:tc>
          <w:tcPr>
            <w:tcW w:w="4124"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both"/>
              <w:rPr>
                <w:rFonts w:ascii="Arial" w:hAnsi="Arial" w:cs="Arial"/>
                <w:sz w:val="24"/>
                <w:szCs w:val="24"/>
              </w:rPr>
            </w:pPr>
            <w:r w:rsidRPr="0074227D">
              <w:rPr>
                <w:rFonts w:ascii="Arial" w:hAnsi="Arial" w:cs="Arial"/>
                <w:sz w:val="24"/>
                <w:szCs w:val="24"/>
              </w:rPr>
              <w:t>UUuACuAcAAUGUUGCuAGdTsdT</w:t>
            </w:r>
          </w:p>
        </w:tc>
      </w:tr>
      <w:tr w:rsidR="004C0DFB" w:rsidRPr="0074227D" w:rsidTr="00351954">
        <w:trPr>
          <w:trHeight w:val="270"/>
          <w:jc w:val="center"/>
        </w:trPr>
        <w:tc>
          <w:tcPr>
            <w:tcW w:w="1097"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center"/>
              <w:rPr>
                <w:rFonts w:ascii="Arial" w:hAnsi="Arial" w:cs="Arial"/>
                <w:sz w:val="24"/>
                <w:szCs w:val="24"/>
              </w:rPr>
            </w:pPr>
            <w:r w:rsidRPr="0074227D">
              <w:rPr>
                <w:rFonts w:ascii="Arial" w:hAnsi="Arial" w:cs="Arial"/>
                <w:sz w:val="24"/>
                <w:szCs w:val="24"/>
              </w:rPr>
              <w:t>4</w:t>
            </w:r>
          </w:p>
        </w:tc>
        <w:tc>
          <w:tcPr>
            <w:tcW w:w="3778"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both"/>
              <w:rPr>
                <w:rFonts w:ascii="Arial" w:hAnsi="Arial" w:cs="Arial"/>
                <w:sz w:val="24"/>
                <w:szCs w:val="24"/>
              </w:rPr>
            </w:pPr>
            <w:r w:rsidRPr="0074227D">
              <w:rPr>
                <w:rFonts w:ascii="Arial" w:hAnsi="Arial" w:cs="Arial"/>
                <w:sz w:val="24"/>
                <w:szCs w:val="24"/>
              </w:rPr>
              <w:t>ggAAAGAGcuAAuuuAcAAdTsdT</w:t>
            </w:r>
          </w:p>
        </w:tc>
        <w:tc>
          <w:tcPr>
            <w:tcW w:w="4124"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both"/>
              <w:rPr>
                <w:rFonts w:ascii="Arial" w:hAnsi="Arial" w:cs="Arial"/>
                <w:sz w:val="24"/>
                <w:szCs w:val="24"/>
              </w:rPr>
            </w:pPr>
            <w:r w:rsidRPr="0074227D">
              <w:rPr>
                <w:rFonts w:ascii="Arial" w:hAnsi="Arial" w:cs="Arial"/>
                <w:sz w:val="24"/>
                <w:szCs w:val="24"/>
              </w:rPr>
              <w:t>UUGuAAAUuAGCUCUUUCCdTsdT</w:t>
            </w:r>
          </w:p>
        </w:tc>
      </w:tr>
      <w:tr w:rsidR="004C0DFB" w:rsidRPr="0074227D" w:rsidTr="00351954">
        <w:trPr>
          <w:trHeight w:val="270"/>
          <w:jc w:val="center"/>
        </w:trPr>
        <w:tc>
          <w:tcPr>
            <w:tcW w:w="1097"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center"/>
              <w:rPr>
                <w:rFonts w:ascii="Arial" w:hAnsi="Arial" w:cs="Arial"/>
                <w:sz w:val="24"/>
                <w:szCs w:val="24"/>
              </w:rPr>
            </w:pPr>
            <w:r w:rsidRPr="0074227D">
              <w:rPr>
                <w:rFonts w:ascii="Arial" w:hAnsi="Arial" w:cs="Arial"/>
                <w:sz w:val="24"/>
                <w:szCs w:val="24"/>
              </w:rPr>
              <w:t>5</w:t>
            </w:r>
          </w:p>
        </w:tc>
        <w:tc>
          <w:tcPr>
            <w:tcW w:w="3778"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both"/>
              <w:rPr>
                <w:rFonts w:ascii="Arial" w:hAnsi="Arial" w:cs="Arial"/>
                <w:sz w:val="24"/>
                <w:szCs w:val="24"/>
              </w:rPr>
            </w:pPr>
            <w:r w:rsidRPr="0074227D">
              <w:rPr>
                <w:rFonts w:ascii="Arial" w:hAnsi="Arial" w:cs="Arial"/>
                <w:sz w:val="24"/>
                <w:szCs w:val="24"/>
              </w:rPr>
              <w:t>gaAAGAGcuAAuuuAcAAAdTsdT</w:t>
            </w:r>
          </w:p>
        </w:tc>
        <w:tc>
          <w:tcPr>
            <w:tcW w:w="4124"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both"/>
              <w:rPr>
                <w:rFonts w:ascii="Arial" w:hAnsi="Arial" w:cs="Arial"/>
                <w:sz w:val="24"/>
                <w:szCs w:val="24"/>
              </w:rPr>
            </w:pPr>
            <w:r w:rsidRPr="0074227D">
              <w:rPr>
                <w:rFonts w:ascii="Arial" w:hAnsi="Arial" w:cs="Arial"/>
                <w:sz w:val="24"/>
                <w:szCs w:val="24"/>
              </w:rPr>
              <w:t>UUUGuAAAUuAGCUCUUUCdTsdT</w:t>
            </w:r>
          </w:p>
        </w:tc>
      </w:tr>
      <w:tr w:rsidR="004C0DFB" w:rsidRPr="0074227D" w:rsidTr="00351954">
        <w:trPr>
          <w:trHeight w:val="270"/>
          <w:jc w:val="center"/>
        </w:trPr>
        <w:tc>
          <w:tcPr>
            <w:tcW w:w="1097"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center"/>
              <w:rPr>
                <w:rFonts w:ascii="Arial" w:hAnsi="Arial" w:cs="Arial"/>
                <w:sz w:val="24"/>
                <w:szCs w:val="24"/>
              </w:rPr>
            </w:pPr>
            <w:r w:rsidRPr="0074227D">
              <w:rPr>
                <w:rFonts w:ascii="Arial" w:hAnsi="Arial" w:cs="Arial"/>
                <w:sz w:val="24"/>
                <w:szCs w:val="24"/>
              </w:rPr>
              <w:t>6</w:t>
            </w:r>
          </w:p>
        </w:tc>
        <w:tc>
          <w:tcPr>
            <w:tcW w:w="3778"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both"/>
              <w:rPr>
                <w:rFonts w:ascii="Arial" w:hAnsi="Arial" w:cs="Arial"/>
                <w:sz w:val="24"/>
                <w:szCs w:val="24"/>
              </w:rPr>
            </w:pPr>
            <w:r w:rsidRPr="0074227D">
              <w:rPr>
                <w:rFonts w:ascii="Arial" w:hAnsi="Arial" w:cs="Arial"/>
                <w:sz w:val="24"/>
                <w:szCs w:val="24"/>
              </w:rPr>
              <w:t>aaGAGcuAAuuuAcAAAGAdTsdT</w:t>
            </w:r>
          </w:p>
        </w:tc>
        <w:tc>
          <w:tcPr>
            <w:tcW w:w="4124"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both"/>
              <w:rPr>
                <w:rFonts w:ascii="Arial" w:hAnsi="Arial" w:cs="Arial"/>
                <w:sz w:val="24"/>
                <w:szCs w:val="24"/>
              </w:rPr>
            </w:pPr>
            <w:r w:rsidRPr="0074227D">
              <w:rPr>
                <w:rFonts w:ascii="Arial" w:hAnsi="Arial" w:cs="Arial"/>
                <w:sz w:val="24"/>
                <w:szCs w:val="24"/>
              </w:rPr>
              <w:t>UCUUUGuAAAUuAGCUCUUdTsdT</w:t>
            </w:r>
          </w:p>
        </w:tc>
      </w:tr>
      <w:tr w:rsidR="004C0DFB" w:rsidRPr="0074227D" w:rsidTr="00351954">
        <w:trPr>
          <w:trHeight w:val="270"/>
          <w:jc w:val="center"/>
        </w:trPr>
        <w:tc>
          <w:tcPr>
            <w:tcW w:w="1097"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center"/>
              <w:rPr>
                <w:rFonts w:ascii="Arial" w:hAnsi="Arial" w:cs="Arial"/>
                <w:sz w:val="24"/>
                <w:szCs w:val="24"/>
              </w:rPr>
            </w:pPr>
            <w:r w:rsidRPr="0074227D">
              <w:rPr>
                <w:rFonts w:ascii="Arial" w:hAnsi="Arial" w:cs="Arial"/>
                <w:sz w:val="24"/>
                <w:szCs w:val="24"/>
              </w:rPr>
              <w:t>7</w:t>
            </w:r>
          </w:p>
        </w:tc>
        <w:tc>
          <w:tcPr>
            <w:tcW w:w="3778"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both"/>
              <w:rPr>
                <w:rFonts w:ascii="Arial" w:hAnsi="Arial" w:cs="Arial"/>
                <w:sz w:val="24"/>
                <w:szCs w:val="24"/>
              </w:rPr>
            </w:pPr>
            <w:r w:rsidRPr="0074227D">
              <w:rPr>
                <w:rFonts w:ascii="Arial" w:hAnsi="Arial" w:cs="Arial"/>
                <w:sz w:val="24"/>
                <w:szCs w:val="24"/>
              </w:rPr>
              <w:t>agAGcuAAuuuAcaAAGAAdTsdT</w:t>
            </w:r>
          </w:p>
        </w:tc>
        <w:tc>
          <w:tcPr>
            <w:tcW w:w="4124"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both"/>
              <w:rPr>
                <w:rFonts w:ascii="Arial" w:hAnsi="Arial" w:cs="Arial"/>
                <w:sz w:val="24"/>
                <w:szCs w:val="24"/>
              </w:rPr>
            </w:pPr>
            <w:r w:rsidRPr="0074227D">
              <w:rPr>
                <w:rFonts w:ascii="Arial" w:hAnsi="Arial" w:cs="Arial"/>
                <w:sz w:val="24"/>
                <w:szCs w:val="24"/>
              </w:rPr>
              <w:t>UUCUUUGuAAAUuAGCUCUdTsdT</w:t>
            </w:r>
          </w:p>
        </w:tc>
      </w:tr>
      <w:tr w:rsidR="004C0DFB" w:rsidRPr="0074227D" w:rsidTr="00351954">
        <w:trPr>
          <w:trHeight w:val="270"/>
          <w:jc w:val="center"/>
        </w:trPr>
        <w:tc>
          <w:tcPr>
            <w:tcW w:w="1097"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center"/>
              <w:rPr>
                <w:rFonts w:ascii="Arial" w:hAnsi="Arial" w:cs="Arial"/>
                <w:sz w:val="24"/>
                <w:szCs w:val="24"/>
              </w:rPr>
            </w:pPr>
            <w:r w:rsidRPr="0074227D">
              <w:rPr>
                <w:rFonts w:ascii="Arial" w:hAnsi="Arial" w:cs="Arial"/>
                <w:sz w:val="24"/>
                <w:szCs w:val="24"/>
              </w:rPr>
              <w:t>8</w:t>
            </w:r>
          </w:p>
        </w:tc>
        <w:tc>
          <w:tcPr>
            <w:tcW w:w="3778"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both"/>
              <w:rPr>
                <w:rFonts w:ascii="Arial" w:hAnsi="Arial" w:cs="Arial"/>
                <w:sz w:val="24"/>
                <w:szCs w:val="24"/>
              </w:rPr>
            </w:pPr>
            <w:r w:rsidRPr="0074227D">
              <w:rPr>
                <w:rFonts w:ascii="Arial" w:hAnsi="Arial" w:cs="Arial"/>
                <w:sz w:val="24"/>
                <w:szCs w:val="24"/>
              </w:rPr>
              <w:t>caccuGAAAuuGAuAcuuudTsdT</w:t>
            </w:r>
          </w:p>
        </w:tc>
        <w:tc>
          <w:tcPr>
            <w:tcW w:w="4124"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both"/>
              <w:rPr>
                <w:rFonts w:ascii="Arial" w:hAnsi="Arial" w:cs="Arial"/>
                <w:sz w:val="24"/>
                <w:szCs w:val="24"/>
              </w:rPr>
            </w:pPr>
            <w:r w:rsidRPr="0074227D">
              <w:rPr>
                <w:rFonts w:ascii="Arial" w:hAnsi="Arial" w:cs="Arial"/>
                <w:sz w:val="24"/>
                <w:szCs w:val="24"/>
              </w:rPr>
              <w:t>AAAGuAUcAAUUUcAGGUGdTsdT</w:t>
            </w:r>
          </w:p>
        </w:tc>
      </w:tr>
      <w:tr w:rsidR="004C0DFB" w:rsidRPr="0074227D" w:rsidTr="00351954">
        <w:trPr>
          <w:trHeight w:val="270"/>
          <w:jc w:val="center"/>
        </w:trPr>
        <w:tc>
          <w:tcPr>
            <w:tcW w:w="1097"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center"/>
              <w:rPr>
                <w:rFonts w:ascii="Arial" w:hAnsi="Arial" w:cs="Arial"/>
                <w:sz w:val="24"/>
                <w:szCs w:val="24"/>
              </w:rPr>
            </w:pPr>
            <w:r w:rsidRPr="0074227D">
              <w:rPr>
                <w:rFonts w:ascii="Arial" w:hAnsi="Arial" w:cs="Arial"/>
                <w:sz w:val="24"/>
                <w:szCs w:val="24"/>
              </w:rPr>
              <w:t>9</w:t>
            </w:r>
          </w:p>
        </w:tc>
        <w:tc>
          <w:tcPr>
            <w:tcW w:w="3778"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both"/>
              <w:rPr>
                <w:rFonts w:ascii="Arial" w:hAnsi="Arial" w:cs="Arial"/>
                <w:sz w:val="24"/>
                <w:szCs w:val="24"/>
              </w:rPr>
            </w:pPr>
            <w:r w:rsidRPr="0074227D">
              <w:rPr>
                <w:rFonts w:ascii="Arial" w:hAnsi="Arial" w:cs="Arial"/>
                <w:sz w:val="24"/>
                <w:szCs w:val="24"/>
              </w:rPr>
              <w:t>cacuAGGuuAGuuuuuGuudTsdT</w:t>
            </w:r>
          </w:p>
        </w:tc>
        <w:tc>
          <w:tcPr>
            <w:tcW w:w="4124"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both"/>
              <w:rPr>
                <w:rFonts w:ascii="Arial" w:hAnsi="Arial" w:cs="Arial"/>
                <w:sz w:val="24"/>
                <w:szCs w:val="24"/>
              </w:rPr>
            </w:pPr>
            <w:r w:rsidRPr="0074227D">
              <w:rPr>
                <w:rFonts w:ascii="Arial" w:hAnsi="Arial" w:cs="Arial"/>
                <w:sz w:val="24"/>
                <w:szCs w:val="24"/>
              </w:rPr>
              <w:t>AAcAAAAACuAACCuAGUGdTsdT</w:t>
            </w:r>
          </w:p>
        </w:tc>
      </w:tr>
      <w:tr w:rsidR="004C0DFB" w:rsidRPr="0074227D" w:rsidTr="00351954">
        <w:trPr>
          <w:trHeight w:val="270"/>
          <w:jc w:val="center"/>
        </w:trPr>
        <w:tc>
          <w:tcPr>
            <w:tcW w:w="1097"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center"/>
              <w:rPr>
                <w:rFonts w:ascii="Arial" w:hAnsi="Arial" w:cs="Arial"/>
                <w:sz w:val="24"/>
                <w:szCs w:val="24"/>
              </w:rPr>
            </w:pPr>
            <w:r w:rsidRPr="0074227D">
              <w:rPr>
                <w:rFonts w:ascii="Arial" w:hAnsi="Arial" w:cs="Arial"/>
                <w:sz w:val="24"/>
                <w:szCs w:val="24"/>
              </w:rPr>
              <w:t>10</w:t>
            </w:r>
          </w:p>
        </w:tc>
        <w:tc>
          <w:tcPr>
            <w:tcW w:w="3778"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both"/>
              <w:rPr>
                <w:rFonts w:ascii="Arial" w:hAnsi="Arial" w:cs="Arial"/>
                <w:sz w:val="24"/>
                <w:szCs w:val="24"/>
              </w:rPr>
            </w:pPr>
            <w:r w:rsidRPr="0074227D">
              <w:rPr>
                <w:rFonts w:ascii="Arial" w:hAnsi="Arial" w:cs="Arial"/>
                <w:sz w:val="24"/>
                <w:szCs w:val="24"/>
              </w:rPr>
              <w:t>ggcuuAAuuuucAgccAAAdTsdT</w:t>
            </w:r>
          </w:p>
        </w:tc>
        <w:tc>
          <w:tcPr>
            <w:tcW w:w="4124"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both"/>
              <w:rPr>
                <w:rFonts w:ascii="Arial" w:hAnsi="Arial" w:cs="Arial"/>
                <w:sz w:val="24"/>
                <w:szCs w:val="24"/>
              </w:rPr>
            </w:pPr>
            <w:r w:rsidRPr="0074227D">
              <w:rPr>
                <w:rFonts w:ascii="Arial" w:hAnsi="Arial" w:cs="Arial"/>
                <w:sz w:val="24"/>
                <w:szCs w:val="24"/>
              </w:rPr>
              <w:t>UUUGGCUGAAAAUuAAGCCdTsdT</w:t>
            </w:r>
          </w:p>
        </w:tc>
      </w:tr>
      <w:tr w:rsidR="004C0DFB" w:rsidRPr="0074227D" w:rsidTr="00351954">
        <w:trPr>
          <w:trHeight w:val="270"/>
          <w:jc w:val="center"/>
        </w:trPr>
        <w:tc>
          <w:tcPr>
            <w:tcW w:w="1097"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center"/>
              <w:rPr>
                <w:rFonts w:ascii="Arial" w:hAnsi="Arial" w:cs="Arial"/>
                <w:sz w:val="24"/>
                <w:szCs w:val="24"/>
              </w:rPr>
            </w:pPr>
            <w:r w:rsidRPr="0074227D">
              <w:rPr>
                <w:rFonts w:ascii="Arial" w:hAnsi="Arial" w:cs="Arial"/>
                <w:sz w:val="24"/>
                <w:szCs w:val="24"/>
              </w:rPr>
              <w:t>11</w:t>
            </w:r>
          </w:p>
        </w:tc>
        <w:tc>
          <w:tcPr>
            <w:tcW w:w="3778"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both"/>
              <w:rPr>
                <w:rFonts w:ascii="Arial" w:hAnsi="Arial" w:cs="Arial"/>
                <w:sz w:val="24"/>
                <w:szCs w:val="24"/>
              </w:rPr>
            </w:pPr>
            <w:r w:rsidRPr="0074227D">
              <w:rPr>
                <w:rFonts w:ascii="Arial" w:hAnsi="Arial" w:cs="Arial"/>
                <w:sz w:val="24"/>
                <w:szCs w:val="24"/>
              </w:rPr>
              <w:t>cauuGGGccuGcAgAcAAAdTsdT</w:t>
            </w:r>
          </w:p>
        </w:tc>
        <w:tc>
          <w:tcPr>
            <w:tcW w:w="4124"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both"/>
              <w:rPr>
                <w:rFonts w:ascii="Arial" w:hAnsi="Arial" w:cs="Arial"/>
                <w:sz w:val="24"/>
                <w:szCs w:val="24"/>
              </w:rPr>
            </w:pPr>
            <w:r w:rsidRPr="0074227D">
              <w:rPr>
                <w:rFonts w:ascii="Arial" w:hAnsi="Arial" w:cs="Arial"/>
                <w:sz w:val="24"/>
                <w:szCs w:val="24"/>
              </w:rPr>
              <w:t>UUUGUCUGcAGGCCcAAUGdTsdT</w:t>
            </w:r>
          </w:p>
        </w:tc>
      </w:tr>
      <w:tr w:rsidR="004C0DFB" w:rsidRPr="0074227D" w:rsidTr="00351954">
        <w:trPr>
          <w:trHeight w:val="285"/>
          <w:jc w:val="center"/>
        </w:trPr>
        <w:tc>
          <w:tcPr>
            <w:tcW w:w="1097"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center"/>
              <w:rPr>
                <w:rFonts w:ascii="Arial" w:hAnsi="Arial" w:cs="Arial"/>
                <w:sz w:val="24"/>
                <w:szCs w:val="24"/>
              </w:rPr>
            </w:pPr>
            <w:r w:rsidRPr="0074227D">
              <w:rPr>
                <w:rFonts w:ascii="Arial" w:hAnsi="Arial" w:cs="Arial"/>
                <w:sz w:val="24"/>
                <w:szCs w:val="24"/>
              </w:rPr>
              <w:t>12</w:t>
            </w:r>
          </w:p>
        </w:tc>
        <w:tc>
          <w:tcPr>
            <w:tcW w:w="3778"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both"/>
              <w:rPr>
                <w:rFonts w:ascii="Arial" w:hAnsi="Arial" w:cs="Arial"/>
                <w:sz w:val="24"/>
                <w:szCs w:val="24"/>
              </w:rPr>
            </w:pPr>
            <w:r w:rsidRPr="0074227D">
              <w:rPr>
                <w:rFonts w:ascii="Arial" w:hAnsi="Arial" w:cs="Arial"/>
                <w:sz w:val="24"/>
                <w:szCs w:val="24"/>
              </w:rPr>
              <w:t>guGucGuAAuuucaGAcAudTsdT</w:t>
            </w:r>
          </w:p>
        </w:tc>
        <w:tc>
          <w:tcPr>
            <w:tcW w:w="4124"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both"/>
              <w:rPr>
                <w:rFonts w:ascii="Arial" w:hAnsi="Arial" w:cs="Arial"/>
                <w:sz w:val="24"/>
                <w:szCs w:val="24"/>
              </w:rPr>
            </w:pPr>
            <w:r w:rsidRPr="0074227D">
              <w:rPr>
                <w:rFonts w:ascii="Arial" w:hAnsi="Arial" w:cs="Arial"/>
                <w:sz w:val="24"/>
                <w:szCs w:val="24"/>
              </w:rPr>
              <w:t>AUGUCUGAAAUuACGAcACdTsdT</w:t>
            </w:r>
          </w:p>
        </w:tc>
      </w:tr>
      <w:tr w:rsidR="004C0DFB" w:rsidRPr="0074227D" w:rsidTr="00351954">
        <w:trPr>
          <w:trHeight w:val="285"/>
          <w:jc w:val="center"/>
        </w:trPr>
        <w:tc>
          <w:tcPr>
            <w:tcW w:w="8999" w:type="dxa"/>
            <w:gridSpan w:val="3"/>
            <w:tcBorders>
              <w:top w:val="single" w:sz="4" w:space="0" w:color="auto"/>
              <w:left w:val="single" w:sz="4" w:space="0" w:color="auto"/>
              <w:bottom w:val="single" w:sz="4" w:space="0" w:color="auto"/>
              <w:right w:val="single" w:sz="4" w:space="0" w:color="auto"/>
            </w:tcBorders>
            <w:noWrap/>
          </w:tcPr>
          <w:p w:rsidR="004C0DFB" w:rsidRPr="0074227D" w:rsidRDefault="004C0DFB" w:rsidP="00A67342">
            <w:pPr>
              <w:spacing w:line="360" w:lineRule="auto"/>
              <w:jc w:val="center"/>
              <w:rPr>
                <w:rFonts w:ascii="Arial" w:hAnsi="Arial" w:cs="Arial"/>
                <w:sz w:val="24"/>
                <w:szCs w:val="24"/>
              </w:rPr>
            </w:pPr>
          </w:p>
        </w:tc>
      </w:tr>
      <w:tr w:rsidR="004C0DFB" w:rsidRPr="0074227D" w:rsidTr="00351954">
        <w:trPr>
          <w:trHeight w:val="285"/>
          <w:jc w:val="center"/>
        </w:trPr>
        <w:tc>
          <w:tcPr>
            <w:tcW w:w="1097"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center"/>
              <w:rPr>
                <w:rFonts w:ascii="Arial" w:hAnsi="Arial" w:cs="Arial"/>
                <w:i/>
                <w:sz w:val="24"/>
                <w:szCs w:val="24"/>
              </w:rPr>
            </w:pPr>
            <w:r w:rsidRPr="0074227D">
              <w:rPr>
                <w:rFonts w:ascii="Arial" w:hAnsi="Arial" w:cs="Arial"/>
                <w:i/>
                <w:sz w:val="24"/>
                <w:szCs w:val="24"/>
              </w:rPr>
              <w:t>siLuc</w:t>
            </w:r>
          </w:p>
        </w:tc>
        <w:tc>
          <w:tcPr>
            <w:tcW w:w="3778"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both"/>
              <w:rPr>
                <w:rFonts w:ascii="Arial" w:hAnsi="Arial" w:cs="Arial"/>
                <w:sz w:val="24"/>
                <w:szCs w:val="24"/>
              </w:rPr>
            </w:pPr>
            <w:r w:rsidRPr="0074227D">
              <w:rPr>
                <w:rFonts w:ascii="Arial" w:hAnsi="Arial" w:cs="Arial"/>
                <w:sz w:val="24"/>
                <w:szCs w:val="24"/>
              </w:rPr>
              <w:t>cuuAcGcuGAGuAcuucGAdTsdT</w:t>
            </w:r>
          </w:p>
        </w:tc>
        <w:tc>
          <w:tcPr>
            <w:tcW w:w="4124" w:type="dxa"/>
            <w:tcBorders>
              <w:top w:val="single" w:sz="4" w:space="0" w:color="auto"/>
              <w:left w:val="single" w:sz="4" w:space="0" w:color="auto"/>
              <w:bottom w:val="single" w:sz="4" w:space="0" w:color="auto"/>
              <w:right w:val="single" w:sz="4" w:space="0" w:color="auto"/>
            </w:tcBorders>
            <w:noWrap/>
            <w:hideMark/>
          </w:tcPr>
          <w:p w:rsidR="004C0DFB" w:rsidRPr="0074227D" w:rsidRDefault="004C0DFB" w:rsidP="00A67342">
            <w:pPr>
              <w:spacing w:line="360" w:lineRule="auto"/>
              <w:jc w:val="both"/>
              <w:rPr>
                <w:rFonts w:ascii="Arial" w:hAnsi="Arial" w:cs="Arial"/>
                <w:sz w:val="24"/>
                <w:szCs w:val="24"/>
              </w:rPr>
            </w:pPr>
            <w:r w:rsidRPr="0074227D">
              <w:rPr>
                <w:rFonts w:ascii="Arial" w:hAnsi="Arial" w:cs="Arial"/>
                <w:sz w:val="24"/>
                <w:szCs w:val="24"/>
              </w:rPr>
              <w:t>UCGAAGuACUcAGCGuAAGdTsdT</w:t>
            </w:r>
          </w:p>
        </w:tc>
      </w:tr>
    </w:tbl>
    <w:p w:rsidR="004C0DFB" w:rsidRPr="0074227D" w:rsidRDefault="004C0DFB" w:rsidP="004C0DFB">
      <w:pPr>
        <w:spacing w:after="0" w:line="480" w:lineRule="auto"/>
        <w:jc w:val="both"/>
        <w:rPr>
          <w:rFonts w:ascii="Arial" w:eastAsiaTheme="minorEastAsia" w:hAnsi="Arial" w:cs="Arial"/>
          <w:sz w:val="24"/>
          <w:szCs w:val="24"/>
          <w:lang w:val="en-GB"/>
        </w:rPr>
      </w:pPr>
    </w:p>
    <w:p w:rsidR="004C0DFB" w:rsidRPr="00794C49" w:rsidRDefault="004C0DFB" w:rsidP="004C0DFB">
      <w:pPr>
        <w:spacing w:after="0" w:line="480" w:lineRule="auto"/>
        <w:jc w:val="both"/>
        <w:rPr>
          <w:rFonts w:ascii="Arial" w:eastAsiaTheme="minorEastAsia" w:hAnsi="Arial" w:cs="Arial"/>
          <w:sz w:val="24"/>
          <w:szCs w:val="24"/>
          <w:lang w:val="es-ES"/>
        </w:rPr>
      </w:pPr>
      <w:r w:rsidRPr="00794C49">
        <w:rPr>
          <w:rFonts w:ascii="Arial" w:eastAsiaTheme="minorEastAsia" w:hAnsi="Arial" w:cs="Arial"/>
          <w:sz w:val="24"/>
          <w:szCs w:val="24"/>
          <w:lang w:val="es-ES"/>
        </w:rPr>
        <w:t>A, G, U, C: RNA Nucleotide</w:t>
      </w:r>
    </w:p>
    <w:p w:rsidR="004C0DFB" w:rsidRPr="00794C49" w:rsidRDefault="004C0DFB" w:rsidP="004C0DFB">
      <w:pPr>
        <w:spacing w:after="0" w:line="480" w:lineRule="auto"/>
        <w:jc w:val="both"/>
        <w:rPr>
          <w:rFonts w:ascii="Arial" w:eastAsiaTheme="minorEastAsia" w:hAnsi="Arial" w:cs="Arial"/>
          <w:sz w:val="24"/>
          <w:szCs w:val="24"/>
          <w:lang w:val="es-ES"/>
        </w:rPr>
      </w:pPr>
      <w:r w:rsidRPr="00794C49">
        <w:rPr>
          <w:rFonts w:ascii="Arial" w:eastAsiaTheme="minorEastAsia" w:hAnsi="Arial" w:cs="Arial"/>
          <w:sz w:val="24"/>
          <w:szCs w:val="24"/>
          <w:lang w:val="es-ES"/>
        </w:rPr>
        <w:t>a, g, u, c: 2‘-O-methyl-Nucleotide</w:t>
      </w:r>
    </w:p>
    <w:p w:rsidR="008B5EF8" w:rsidRDefault="004C0DFB" w:rsidP="00FD1DB1">
      <w:pPr>
        <w:pStyle w:val="Ttulo1"/>
        <w:rPr>
          <w:lang w:val="en-US"/>
        </w:rPr>
      </w:pPr>
      <w:bookmarkStart w:id="1" w:name="_Toc21510354"/>
      <w:r>
        <w:rPr>
          <w:rFonts w:ascii="Arial" w:hAnsi="Arial" w:cs="Arial"/>
          <w:b/>
          <w:color w:val="000000" w:themeColor="text1"/>
          <w:lang w:val="en-US"/>
        </w:rPr>
        <w:lastRenderedPageBreak/>
        <w:t>SUPPLEMENTARY FIGURES</w:t>
      </w:r>
    </w:p>
    <w:bookmarkEnd w:id="1"/>
    <w:p w:rsidR="002C191E" w:rsidRDefault="002C191E" w:rsidP="002C191E">
      <w:pPr>
        <w:spacing w:after="0" w:line="480" w:lineRule="auto"/>
        <w:jc w:val="both"/>
        <w:rPr>
          <w:rFonts w:ascii="Arial" w:eastAsiaTheme="minorEastAsia" w:hAnsi="Arial" w:cs="Arial"/>
          <w:sz w:val="24"/>
          <w:szCs w:val="24"/>
          <w:lang w:val="en-GB"/>
        </w:rPr>
      </w:pPr>
    </w:p>
    <w:p w:rsidR="00B62705" w:rsidRPr="008B5EF8" w:rsidRDefault="002C191E" w:rsidP="00A67342">
      <w:pPr>
        <w:pStyle w:val="Ttulo1"/>
        <w:spacing w:line="360" w:lineRule="auto"/>
        <w:jc w:val="both"/>
        <w:rPr>
          <w:rFonts w:ascii="Arial" w:eastAsia="MS Mincho" w:hAnsi="Arial" w:cs="Arial"/>
          <w:color w:val="auto"/>
          <w:sz w:val="24"/>
          <w:szCs w:val="24"/>
          <w:lang w:val="en-US"/>
        </w:rPr>
      </w:pPr>
      <w:bookmarkStart w:id="2" w:name="_Toc21510355"/>
      <w:r w:rsidRPr="008B5EF8">
        <w:rPr>
          <w:rFonts w:ascii="Arial" w:hAnsi="Arial" w:cs="Arial"/>
          <w:b/>
          <w:color w:val="auto"/>
          <w:sz w:val="24"/>
          <w:szCs w:val="24"/>
          <w:lang w:val="en-US"/>
        </w:rPr>
        <w:t xml:space="preserve">Suppl. Figure </w:t>
      </w:r>
      <w:bookmarkEnd w:id="2"/>
      <w:r w:rsidR="004C0DFB">
        <w:rPr>
          <w:rFonts w:ascii="Arial" w:hAnsi="Arial" w:cs="Arial"/>
          <w:b/>
          <w:color w:val="auto"/>
          <w:sz w:val="24"/>
          <w:szCs w:val="24"/>
          <w:lang w:val="en-US"/>
        </w:rPr>
        <w:t>1</w:t>
      </w:r>
      <w:r w:rsidR="008B5EF8" w:rsidRPr="008B5EF8">
        <w:rPr>
          <w:rFonts w:ascii="Arial" w:hAnsi="Arial" w:cs="Arial"/>
          <w:b/>
          <w:color w:val="auto"/>
          <w:sz w:val="24"/>
          <w:szCs w:val="24"/>
          <w:lang w:val="en-US"/>
        </w:rPr>
        <w:t>.</w:t>
      </w:r>
      <w:r w:rsidR="008B5EF8">
        <w:rPr>
          <w:rFonts w:ascii="Arial" w:hAnsi="Arial" w:cs="Arial"/>
          <w:color w:val="auto"/>
          <w:sz w:val="24"/>
          <w:szCs w:val="24"/>
          <w:lang w:val="en-US"/>
        </w:rPr>
        <w:t xml:space="preserve"> </w:t>
      </w:r>
      <w:r w:rsidR="00E84B99" w:rsidRPr="008B5EF8">
        <w:rPr>
          <w:rFonts w:ascii="Arial" w:eastAsia="Calibri" w:hAnsi="Arial" w:cs="Arial"/>
          <w:color w:val="auto"/>
          <w:sz w:val="24"/>
          <w:szCs w:val="24"/>
          <w:lang w:val="en-US"/>
        </w:rPr>
        <w:t>Serum liver AST (A), GLDH (B)</w:t>
      </w:r>
      <w:r w:rsidR="00E84B99" w:rsidRPr="008B5EF8">
        <w:rPr>
          <w:rFonts w:ascii="Arial" w:eastAsia="Calibri" w:hAnsi="Arial" w:cs="Arial"/>
          <w:b/>
          <w:color w:val="auto"/>
          <w:sz w:val="24"/>
          <w:szCs w:val="24"/>
          <w:lang w:val="en-US"/>
        </w:rPr>
        <w:t xml:space="preserve"> </w:t>
      </w:r>
      <w:r w:rsidR="00E84B99" w:rsidRPr="008B5EF8">
        <w:rPr>
          <w:rFonts w:ascii="Arial" w:eastAsia="Calibri" w:hAnsi="Arial" w:cs="Arial"/>
          <w:color w:val="auto"/>
          <w:sz w:val="24"/>
          <w:szCs w:val="24"/>
          <w:lang w:val="en-US"/>
        </w:rPr>
        <w:t>and AP (C)</w:t>
      </w:r>
      <w:r w:rsidR="00E84B99" w:rsidRPr="008B5EF8">
        <w:rPr>
          <w:rFonts w:ascii="Arial" w:eastAsia="MS Mincho" w:hAnsi="Arial" w:cs="Arial"/>
          <w:b/>
          <w:color w:val="auto"/>
          <w:sz w:val="24"/>
          <w:szCs w:val="24"/>
          <w:lang w:val="en-US"/>
        </w:rPr>
        <w:t xml:space="preserve"> </w:t>
      </w:r>
      <w:r w:rsidR="00112815" w:rsidRPr="008B5EF8">
        <w:rPr>
          <w:rFonts w:ascii="Arial" w:eastAsia="MS Mincho" w:hAnsi="Arial" w:cs="Arial"/>
          <w:color w:val="auto"/>
          <w:sz w:val="24"/>
          <w:szCs w:val="24"/>
          <w:lang w:val="en-US"/>
        </w:rPr>
        <w:t>of 52-</w:t>
      </w:r>
      <w:r w:rsidR="00E84B99" w:rsidRPr="008B5EF8">
        <w:rPr>
          <w:rFonts w:ascii="Arial" w:eastAsia="MS Mincho" w:hAnsi="Arial" w:cs="Arial"/>
          <w:color w:val="auto"/>
          <w:sz w:val="24"/>
          <w:szCs w:val="24"/>
          <w:lang w:val="en-US"/>
        </w:rPr>
        <w:t>week-old NEMO</w:t>
      </w:r>
      <w:r w:rsidR="00DB3BBE">
        <w:rPr>
          <w:rFonts w:ascii="Arial" w:eastAsia="MS Mincho" w:hAnsi="Arial" w:cs="Arial"/>
          <w:color w:val="auto"/>
          <w:sz w:val="24"/>
          <w:szCs w:val="24"/>
          <w:vertAlign w:val="superscript"/>
          <w:lang w:val="en-US"/>
        </w:rPr>
        <w:t>ΔH</w:t>
      </w:r>
      <w:r w:rsidR="00E84B99" w:rsidRPr="008B5EF8">
        <w:rPr>
          <w:rFonts w:ascii="Arial" w:eastAsia="MS Mincho" w:hAnsi="Arial" w:cs="Arial"/>
          <w:color w:val="auto"/>
          <w:sz w:val="24"/>
          <w:szCs w:val="24"/>
          <w:vertAlign w:val="superscript"/>
          <w:lang w:val="en-US"/>
        </w:rPr>
        <w:t>epa</w:t>
      </w:r>
      <w:r w:rsidR="00E84B99" w:rsidRPr="008B5EF8">
        <w:rPr>
          <w:rFonts w:ascii="Arial" w:eastAsia="MS Mincho" w:hAnsi="Arial" w:cs="Arial"/>
          <w:color w:val="auto"/>
          <w:sz w:val="24"/>
          <w:szCs w:val="24"/>
          <w:lang w:val="en-US"/>
        </w:rPr>
        <w:t>, JNK2</w:t>
      </w:r>
      <w:r w:rsidR="00DB3BBE">
        <w:rPr>
          <w:rFonts w:ascii="Arial" w:eastAsia="MS Mincho" w:hAnsi="Arial" w:cs="Arial"/>
          <w:color w:val="auto"/>
          <w:sz w:val="24"/>
          <w:szCs w:val="24"/>
          <w:vertAlign w:val="superscript"/>
          <w:lang w:val="en-US"/>
        </w:rPr>
        <w:t>ΔHe</w:t>
      </w:r>
      <w:r w:rsidR="00E84B99" w:rsidRPr="008B5EF8">
        <w:rPr>
          <w:rFonts w:ascii="Arial" w:eastAsia="MS Mincho" w:hAnsi="Arial" w:cs="Arial"/>
          <w:color w:val="auto"/>
          <w:sz w:val="24"/>
          <w:szCs w:val="24"/>
          <w:vertAlign w:val="superscript"/>
          <w:lang w:val="en-US"/>
        </w:rPr>
        <w:t>pa</w:t>
      </w:r>
      <w:r w:rsidR="00E84B99" w:rsidRPr="008B5EF8">
        <w:rPr>
          <w:rFonts w:ascii="Arial" w:eastAsia="MS Mincho" w:hAnsi="Arial" w:cs="Arial"/>
          <w:b/>
          <w:color w:val="auto"/>
          <w:sz w:val="24"/>
          <w:szCs w:val="24"/>
          <w:lang w:val="en-US"/>
        </w:rPr>
        <w:t>,</w:t>
      </w:r>
      <w:r w:rsidR="00E84B99" w:rsidRPr="008B5EF8">
        <w:rPr>
          <w:rFonts w:ascii="Arial" w:eastAsia="MS Mincho" w:hAnsi="Arial" w:cs="Arial"/>
          <w:color w:val="auto"/>
          <w:sz w:val="24"/>
          <w:szCs w:val="24"/>
          <w:lang w:val="en-US"/>
        </w:rPr>
        <w:t xml:space="preserve"> NEMO</w:t>
      </w:r>
      <w:r w:rsidR="00DB3BBE">
        <w:rPr>
          <w:rFonts w:ascii="Arial" w:eastAsia="MS Mincho" w:hAnsi="Arial" w:cs="Arial"/>
          <w:color w:val="auto"/>
          <w:sz w:val="24"/>
          <w:szCs w:val="24"/>
          <w:vertAlign w:val="superscript"/>
          <w:lang w:val="en-US"/>
        </w:rPr>
        <w:t>ΔHe</w:t>
      </w:r>
      <w:r w:rsidR="00E84B99" w:rsidRPr="008B5EF8">
        <w:rPr>
          <w:rFonts w:ascii="Arial" w:eastAsia="MS Mincho" w:hAnsi="Arial" w:cs="Arial"/>
          <w:color w:val="auto"/>
          <w:sz w:val="24"/>
          <w:szCs w:val="24"/>
          <w:vertAlign w:val="superscript"/>
          <w:lang w:val="en-US"/>
        </w:rPr>
        <w:t>pa</w:t>
      </w:r>
      <w:r w:rsidR="00E84B99" w:rsidRPr="008B5EF8">
        <w:rPr>
          <w:rFonts w:ascii="Arial" w:eastAsia="MS Mincho" w:hAnsi="Arial" w:cs="Arial"/>
          <w:color w:val="auto"/>
          <w:sz w:val="24"/>
          <w:szCs w:val="24"/>
          <w:lang w:val="en-US"/>
        </w:rPr>
        <w:t>/JNK2</w:t>
      </w:r>
      <w:r w:rsidR="00DB3BBE">
        <w:rPr>
          <w:rFonts w:ascii="Arial" w:eastAsia="MS Mincho" w:hAnsi="Arial" w:cs="Arial"/>
          <w:color w:val="auto"/>
          <w:sz w:val="24"/>
          <w:szCs w:val="24"/>
          <w:vertAlign w:val="superscript"/>
          <w:lang w:val="en-US"/>
        </w:rPr>
        <w:t>ΔH</w:t>
      </w:r>
      <w:r w:rsidR="00E84B99" w:rsidRPr="008B5EF8">
        <w:rPr>
          <w:rFonts w:ascii="Arial" w:eastAsia="MS Mincho" w:hAnsi="Arial" w:cs="Arial"/>
          <w:color w:val="auto"/>
          <w:sz w:val="24"/>
          <w:szCs w:val="24"/>
          <w:vertAlign w:val="superscript"/>
          <w:lang w:val="en-US"/>
        </w:rPr>
        <w:t>epa</w:t>
      </w:r>
      <w:r w:rsidR="00E84B99" w:rsidRPr="008B5EF8">
        <w:rPr>
          <w:rFonts w:ascii="Arial" w:eastAsia="MS Mincho" w:hAnsi="Arial" w:cs="Arial"/>
          <w:color w:val="auto"/>
          <w:sz w:val="24"/>
          <w:szCs w:val="24"/>
          <w:lang w:val="en-US"/>
        </w:rPr>
        <w:t xml:space="preserve"> animals and the respective controls are displayed in U/l (n=11-13). Data are presented as means ± S.E.M.</w:t>
      </w:r>
      <w:r w:rsidR="00E84B99" w:rsidRPr="008B5EF8">
        <w:rPr>
          <w:rFonts w:ascii="Arial" w:eastAsia="Calibri" w:hAnsi="Arial" w:cs="Arial"/>
          <w:b/>
          <w:color w:val="auto"/>
          <w:sz w:val="24"/>
          <w:szCs w:val="24"/>
          <w:lang w:val="en-US"/>
        </w:rPr>
        <w:t xml:space="preserve"> </w:t>
      </w:r>
      <w:r w:rsidR="00E84B99" w:rsidRPr="008B5EF8">
        <w:rPr>
          <w:rFonts w:ascii="Arial" w:eastAsia="MS Mincho" w:hAnsi="Arial" w:cs="Arial"/>
          <w:color w:val="auto"/>
          <w:sz w:val="24"/>
          <w:szCs w:val="24"/>
          <w:lang w:val="en-US"/>
        </w:rPr>
        <w:t>*</w:t>
      </w:r>
      <w:r w:rsidR="00E84B99" w:rsidRPr="008B5EF8">
        <w:rPr>
          <w:rFonts w:ascii="Arial" w:eastAsia="MS Mincho" w:hAnsi="Arial" w:cs="Arial"/>
          <w:i/>
          <w:color w:val="auto"/>
          <w:sz w:val="24"/>
          <w:szCs w:val="24"/>
          <w:lang w:val="en-US"/>
        </w:rPr>
        <w:t>P</w:t>
      </w:r>
      <w:r w:rsidR="00E84B99" w:rsidRPr="008B5EF8">
        <w:rPr>
          <w:rFonts w:ascii="Arial" w:eastAsia="MS Mincho" w:hAnsi="Arial" w:cs="Arial"/>
          <w:color w:val="auto"/>
          <w:sz w:val="24"/>
          <w:szCs w:val="24"/>
          <w:lang w:val="en-US"/>
        </w:rPr>
        <w:t>&lt;0.05, **</w:t>
      </w:r>
      <w:r w:rsidR="00E84B99" w:rsidRPr="008B5EF8">
        <w:rPr>
          <w:rFonts w:ascii="Arial" w:eastAsia="MS Mincho" w:hAnsi="Arial" w:cs="Arial"/>
          <w:i/>
          <w:color w:val="auto"/>
          <w:sz w:val="24"/>
          <w:szCs w:val="24"/>
          <w:lang w:val="en-US"/>
        </w:rPr>
        <w:t>P</w:t>
      </w:r>
      <w:r w:rsidR="00E84B99" w:rsidRPr="008B5EF8">
        <w:rPr>
          <w:rFonts w:ascii="Arial" w:eastAsia="MS Mincho" w:hAnsi="Arial" w:cs="Arial"/>
          <w:color w:val="auto"/>
          <w:sz w:val="24"/>
          <w:szCs w:val="24"/>
          <w:lang w:val="en-US"/>
        </w:rPr>
        <w:t>&lt;0.01, ***</w:t>
      </w:r>
      <w:r w:rsidR="00E84B99" w:rsidRPr="008B5EF8">
        <w:rPr>
          <w:rFonts w:ascii="Arial" w:eastAsia="MS Mincho" w:hAnsi="Arial" w:cs="Arial"/>
          <w:i/>
          <w:color w:val="auto"/>
          <w:sz w:val="24"/>
          <w:szCs w:val="24"/>
          <w:lang w:val="en-US"/>
        </w:rPr>
        <w:t>P</w:t>
      </w:r>
      <w:r w:rsidR="00E84B99" w:rsidRPr="008B5EF8">
        <w:rPr>
          <w:rFonts w:ascii="Arial" w:eastAsia="MS Mincho" w:hAnsi="Arial" w:cs="Arial"/>
          <w:color w:val="auto"/>
          <w:sz w:val="24"/>
          <w:szCs w:val="24"/>
          <w:lang w:val="en-US"/>
        </w:rPr>
        <w:t>&lt;0.001.</w:t>
      </w:r>
      <w:r w:rsidR="00B62705" w:rsidRPr="008B5EF8">
        <w:rPr>
          <w:rFonts w:ascii="Arial" w:eastAsia="MS Mincho" w:hAnsi="Arial" w:cs="Arial"/>
          <w:color w:val="auto"/>
          <w:sz w:val="24"/>
          <w:szCs w:val="24"/>
          <w:lang w:val="en-US"/>
        </w:rPr>
        <w:t xml:space="preserve"> (D) </w:t>
      </w:r>
      <w:r w:rsidR="00B62705" w:rsidRPr="008B5EF8">
        <w:rPr>
          <w:rFonts w:ascii="Arial" w:hAnsi="Arial" w:cs="Arial"/>
          <w:color w:val="auto"/>
          <w:sz w:val="24"/>
          <w:szCs w:val="24"/>
          <w:lang w:val="en-US"/>
        </w:rPr>
        <w:t xml:space="preserve">Representative images (left) of Sirius red staining of paraffin-embedded 52-week-old </w:t>
      </w:r>
      <w:r w:rsidR="00DB3BBE" w:rsidRPr="008B5EF8">
        <w:rPr>
          <w:rFonts w:ascii="Arial" w:eastAsia="MS Mincho" w:hAnsi="Arial" w:cs="Arial"/>
          <w:color w:val="auto"/>
          <w:sz w:val="24"/>
          <w:szCs w:val="24"/>
          <w:lang w:val="en-US"/>
        </w:rPr>
        <w:t>NEMO</w:t>
      </w:r>
      <w:r w:rsidR="00DB3BBE">
        <w:rPr>
          <w:rFonts w:ascii="Arial" w:eastAsia="MS Mincho" w:hAnsi="Arial" w:cs="Arial"/>
          <w:color w:val="auto"/>
          <w:sz w:val="24"/>
          <w:szCs w:val="24"/>
          <w:vertAlign w:val="superscript"/>
          <w:lang w:val="en-US"/>
        </w:rPr>
        <w:t>ΔH</w:t>
      </w:r>
      <w:r w:rsidR="00DB3BBE" w:rsidRPr="008B5EF8">
        <w:rPr>
          <w:rFonts w:ascii="Arial" w:eastAsia="MS Mincho" w:hAnsi="Arial" w:cs="Arial"/>
          <w:color w:val="auto"/>
          <w:sz w:val="24"/>
          <w:szCs w:val="24"/>
          <w:vertAlign w:val="superscript"/>
          <w:lang w:val="en-US"/>
        </w:rPr>
        <w:t>epa</w:t>
      </w:r>
      <w:r w:rsidR="00DB3BBE" w:rsidRPr="008B5EF8">
        <w:rPr>
          <w:rFonts w:ascii="Arial" w:eastAsia="MS Mincho" w:hAnsi="Arial" w:cs="Arial"/>
          <w:color w:val="auto"/>
          <w:sz w:val="24"/>
          <w:szCs w:val="24"/>
          <w:lang w:val="en-US"/>
        </w:rPr>
        <w:t>, JNK2</w:t>
      </w:r>
      <w:r w:rsidR="00DB3BBE">
        <w:rPr>
          <w:rFonts w:ascii="Arial" w:eastAsia="MS Mincho" w:hAnsi="Arial" w:cs="Arial"/>
          <w:color w:val="auto"/>
          <w:sz w:val="24"/>
          <w:szCs w:val="24"/>
          <w:vertAlign w:val="superscript"/>
          <w:lang w:val="en-US"/>
        </w:rPr>
        <w:t>ΔHe</w:t>
      </w:r>
      <w:r w:rsidR="00DB3BBE" w:rsidRPr="008B5EF8">
        <w:rPr>
          <w:rFonts w:ascii="Arial" w:eastAsia="MS Mincho" w:hAnsi="Arial" w:cs="Arial"/>
          <w:color w:val="auto"/>
          <w:sz w:val="24"/>
          <w:szCs w:val="24"/>
          <w:vertAlign w:val="superscript"/>
          <w:lang w:val="en-US"/>
        </w:rPr>
        <w:t>pa</w:t>
      </w:r>
      <w:r w:rsidR="00DB3BBE" w:rsidRPr="008B5EF8">
        <w:rPr>
          <w:rFonts w:ascii="Arial" w:eastAsia="MS Mincho" w:hAnsi="Arial" w:cs="Arial"/>
          <w:b/>
          <w:color w:val="auto"/>
          <w:sz w:val="24"/>
          <w:szCs w:val="24"/>
          <w:lang w:val="en-US"/>
        </w:rPr>
        <w:t>,</w:t>
      </w:r>
      <w:r w:rsidR="00DB3BBE" w:rsidRPr="008B5EF8">
        <w:rPr>
          <w:rFonts w:ascii="Arial" w:eastAsia="MS Mincho" w:hAnsi="Arial" w:cs="Arial"/>
          <w:color w:val="auto"/>
          <w:sz w:val="24"/>
          <w:szCs w:val="24"/>
          <w:lang w:val="en-US"/>
        </w:rPr>
        <w:t xml:space="preserve"> NEMO</w:t>
      </w:r>
      <w:r w:rsidR="00DB3BBE">
        <w:rPr>
          <w:rFonts w:ascii="Arial" w:eastAsia="MS Mincho" w:hAnsi="Arial" w:cs="Arial"/>
          <w:color w:val="auto"/>
          <w:sz w:val="24"/>
          <w:szCs w:val="24"/>
          <w:vertAlign w:val="superscript"/>
          <w:lang w:val="en-US"/>
        </w:rPr>
        <w:t>ΔHe</w:t>
      </w:r>
      <w:r w:rsidR="00DB3BBE" w:rsidRPr="008B5EF8">
        <w:rPr>
          <w:rFonts w:ascii="Arial" w:eastAsia="MS Mincho" w:hAnsi="Arial" w:cs="Arial"/>
          <w:color w:val="auto"/>
          <w:sz w:val="24"/>
          <w:szCs w:val="24"/>
          <w:vertAlign w:val="superscript"/>
          <w:lang w:val="en-US"/>
        </w:rPr>
        <w:t>pa</w:t>
      </w:r>
      <w:r w:rsidR="00DB3BBE" w:rsidRPr="008B5EF8">
        <w:rPr>
          <w:rFonts w:ascii="Arial" w:eastAsia="MS Mincho" w:hAnsi="Arial" w:cs="Arial"/>
          <w:color w:val="auto"/>
          <w:sz w:val="24"/>
          <w:szCs w:val="24"/>
          <w:lang w:val="en-US"/>
        </w:rPr>
        <w:t>/JNK2</w:t>
      </w:r>
      <w:r w:rsidR="00DB3BBE">
        <w:rPr>
          <w:rFonts w:ascii="Arial" w:eastAsia="MS Mincho" w:hAnsi="Arial" w:cs="Arial"/>
          <w:color w:val="auto"/>
          <w:sz w:val="24"/>
          <w:szCs w:val="24"/>
          <w:vertAlign w:val="superscript"/>
          <w:lang w:val="en-US"/>
        </w:rPr>
        <w:t>ΔH</w:t>
      </w:r>
      <w:r w:rsidR="00DB3BBE" w:rsidRPr="008B5EF8">
        <w:rPr>
          <w:rFonts w:ascii="Arial" w:eastAsia="MS Mincho" w:hAnsi="Arial" w:cs="Arial"/>
          <w:color w:val="auto"/>
          <w:sz w:val="24"/>
          <w:szCs w:val="24"/>
          <w:vertAlign w:val="superscript"/>
          <w:lang w:val="en-US"/>
        </w:rPr>
        <w:t>epa</w:t>
      </w:r>
      <w:r w:rsidR="00DB3BBE" w:rsidRPr="008B5EF8">
        <w:rPr>
          <w:rFonts w:ascii="Arial" w:eastAsia="MS Mincho" w:hAnsi="Arial" w:cs="Arial"/>
          <w:color w:val="auto"/>
          <w:sz w:val="24"/>
          <w:szCs w:val="24"/>
          <w:lang w:val="en-US"/>
        </w:rPr>
        <w:t xml:space="preserve"> </w:t>
      </w:r>
      <w:r w:rsidR="00B62705" w:rsidRPr="008B5EF8">
        <w:rPr>
          <w:rFonts w:ascii="Arial" w:eastAsia="MS Mincho" w:hAnsi="Arial" w:cs="Arial"/>
          <w:color w:val="auto"/>
          <w:sz w:val="24"/>
          <w:szCs w:val="24"/>
          <w:lang w:val="en-US"/>
        </w:rPr>
        <w:t xml:space="preserve">(lower images) and control mice (upper images). </w:t>
      </w:r>
      <w:r w:rsidR="00B62705" w:rsidRPr="008B5EF8">
        <w:rPr>
          <w:rFonts w:ascii="Arial" w:hAnsi="Arial" w:cs="Arial"/>
          <w:color w:val="auto"/>
          <w:sz w:val="24"/>
          <w:szCs w:val="24"/>
          <w:lang w:val="en-US"/>
        </w:rPr>
        <w:t>Quantification of positive Sir</w:t>
      </w:r>
      <w:r w:rsidR="00A67342">
        <w:rPr>
          <w:rFonts w:ascii="Arial" w:hAnsi="Arial" w:cs="Arial"/>
          <w:color w:val="auto"/>
          <w:sz w:val="24"/>
          <w:szCs w:val="24"/>
          <w:lang w:val="en-US"/>
        </w:rPr>
        <w:t>i</w:t>
      </w:r>
      <w:r w:rsidR="00B62705" w:rsidRPr="008B5EF8">
        <w:rPr>
          <w:rFonts w:ascii="Arial" w:hAnsi="Arial" w:cs="Arial"/>
          <w:color w:val="auto"/>
          <w:sz w:val="24"/>
          <w:szCs w:val="24"/>
          <w:lang w:val="en-US"/>
        </w:rPr>
        <w:t>us red area fraction (right) was performed with Image J</w:t>
      </w:r>
      <w:r w:rsidR="00B62705" w:rsidRPr="008B5EF8">
        <w:rPr>
          <w:rFonts w:ascii="Arial" w:hAnsi="Arial" w:cs="Arial"/>
          <w:color w:val="auto"/>
          <w:sz w:val="24"/>
          <w:szCs w:val="24"/>
          <w:vertAlign w:val="superscript"/>
          <w:lang w:val="en-US"/>
        </w:rPr>
        <w:t>©</w:t>
      </w:r>
      <w:r w:rsidR="00B62705" w:rsidRPr="008B5EF8">
        <w:rPr>
          <w:rFonts w:ascii="Arial" w:hAnsi="Arial" w:cs="Arial"/>
          <w:color w:val="auto"/>
          <w:sz w:val="24"/>
          <w:szCs w:val="24"/>
          <w:lang w:val="en-US"/>
        </w:rPr>
        <w:t xml:space="preserve"> </w:t>
      </w:r>
      <w:r w:rsidR="00B62705" w:rsidRPr="008B5EF8">
        <w:rPr>
          <w:rFonts w:ascii="Arial" w:eastAsia="MS Mincho" w:hAnsi="Arial" w:cs="Arial"/>
          <w:color w:val="auto"/>
          <w:sz w:val="24"/>
          <w:szCs w:val="24"/>
          <w:lang w:val="en-US"/>
        </w:rPr>
        <w:t>(Scale bars: 100 μm).</w:t>
      </w:r>
    </w:p>
    <w:p w:rsidR="008B5EF8" w:rsidRDefault="008B5EF8" w:rsidP="00A67342">
      <w:pPr>
        <w:spacing w:line="360" w:lineRule="auto"/>
        <w:jc w:val="both"/>
        <w:rPr>
          <w:rFonts w:ascii="Arial" w:eastAsia="MS Mincho" w:hAnsi="Arial" w:cs="Arial"/>
          <w:color w:val="000000" w:themeColor="text1"/>
          <w:sz w:val="24"/>
          <w:szCs w:val="24"/>
          <w:lang w:val="en-US"/>
        </w:rPr>
      </w:pPr>
    </w:p>
    <w:p w:rsidR="00B62705" w:rsidRPr="008B5EF8" w:rsidRDefault="00B62705" w:rsidP="00A67342">
      <w:pPr>
        <w:pStyle w:val="Ttulo1"/>
        <w:spacing w:line="360" w:lineRule="auto"/>
        <w:jc w:val="both"/>
        <w:rPr>
          <w:rFonts w:ascii="Arial" w:hAnsi="Arial" w:cs="Arial"/>
          <w:color w:val="auto"/>
          <w:sz w:val="24"/>
          <w:szCs w:val="24"/>
          <w:lang w:val="en-US"/>
        </w:rPr>
      </w:pPr>
      <w:bookmarkStart w:id="3" w:name="_Toc21510356"/>
      <w:r w:rsidRPr="008B5EF8">
        <w:rPr>
          <w:rFonts w:ascii="Arial" w:hAnsi="Arial" w:cs="Arial"/>
          <w:b/>
          <w:color w:val="auto"/>
          <w:sz w:val="24"/>
          <w:szCs w:val="24"/>
          <w:lang w:val="en-US"/>
        </w:rPr>
        <w:t xml:space="preserve">Suppl. Figure </w:t>
      </w:r>
      <w:bookmarkEnd w:id="3"/>
      <w:r w:rsidR="004C0DFB">
        <w:rPr>
          <w:rFonts w:ascii="Arial" w:hAnsi="Arial" w:cs="Arial"/>
          <w:b/>
          <w:color w:val="auto"/>
          <w:sz w:val="24"/>
          <w:szCs w:val="24"/>
          <w:lang w:val="en-US"/>
        </w:rPr>
        <w:t>2</w:t>
      </w:r>
      <w:r w:rsidR="008B5EF8" w:rsidRPr="008B5EF8">
        <w:rPr>
          <w:rFonts w:ascii="Arial" w:hAnsi="Arial" w:cs="Arial"/>
          <w:b/>
          <w:color w:val="auto"/>
          <w:sz w:val="24"/>
          <w:szCs w:val="24"/>
          <w:lang w:val="en-US"/>
        </w:rPr>
        <w:t xml:space="preserve">. </w:t>
      </w:r>
      <w:r w:rsidRPr="008B5EF8">
        <w:rPr>
          <w:rFonts w:ascii="Arial" w:hAnsi="Arial" w:cs="Arial"/>
          <w:color w:val="auto"/>
          <w:sz w:val="24"/>
          <w:szCs w:val="24"/>
          <w:lang w:val="en-US"/>
        </w:rPr>
        <w:t>(A) The accumulation of Duramycin-NIR790 was determined and expressed as [pmol]. (B) Serum liver AST (left), GLDH (center) and AP (right) of 12-week-old NEMO</w:t>
      </w:r>
      <w:r w:rsidR="00DB3BBE">
        <w:rPr>
          <w:rFonts w:ascii="Arial" w:hAnsi="Arial" w:cs="Arial"/>
          <w:color w:val="auto"/>
          <w:sz w:val="24"/>
          <w:szCs w:val="24"/>
          <w:vertAlign w:val="superscript"/>
          <w:lang w:val="en-US"/>
        </w:rPr>
        <w:t>ΔH</w:t>
      </w:r>
      <w:r w:rsidRPr="008B5EF8">
        <w:rPr>
          <w:rFonts w:ascii="Arial" w:hAnsi="Arial" w:cs="Arial"/>
          <w:color w:val="auto"/>
          <w:sz w:val="24"/>
          <w:szCs w:val="24"/>
          <w:vertAlign w:val="superscript"/>
          <w:lang w:val="en-US"/>
        </w:rPr>
        <w:t>epa</w:t>
      </w:r>
      <w:r w:rsidRPr="008B5EF8">
        <w:rPr>
          <w:rFonts w:ascii="Arial" w:hAnsi="Arial" w:cs="Arial"/>
          <w:color w:val="auto"/>
          <w:sz w:val="24"/>
          <w:szCs w:val="24"/>
          <w:lang w:val="en-US"/>
        </w:rPr>
        <w:t xml:space="preserve"> animals and the respective controls are represented in U/l. (C) Liver weight (left), body weight (center) and liver weight versus body weight ratio (right) is graphed for the identical treatment groups. </w:t>
      </w:r>
      <w:r w:rsidRPr="008B5EF8">
        <w:rPr>
          <w:rFonts w:ascii="Arial" w:eastAsia="MS Mincho" w:hAnsi="Arial" w:cs="Arial"/>
          <w:color w:val="auto"/>
          <w:sz w:val="24"/>
          <w:szCs w:val="24"/>
          <w:lang w:val="en-US"/>
        </w:rPr>
        <w:t>(D) Representative histologi</w:t>
      </w:r>
      <w:r w:rsidR="00DB3BBE">
        <w:rPr>
          <w:rFonts w:ascii="Arial" w:eastAsia="MS Mincho" w:hAnsi="Arial" w:cs="Arial"/>
          <w:color w:val="auto"/>
          <w:sz w:val="24"/>
          <w:szCs w:val="24"/>
          <w:lang w:val="en-US"/>
        </w:rPr>
        <w:t>cal sections of livers from 12-</w:t>
      </w:r>
      <w:r w:rsidRPr="008B5EF8">
        <w:rPr>
          <w:rFonts w:ascii="Arial" w:eastAsia="MS Mincho" w:hAnsi="Arial" w:cs="Arial"/>
          <w:color w:val="auto"/>
          <w:sz w:val="24"/>
          <w:szCs w:val="24"/>
          <w:lang w:val="en-US"/>
        </w:rPr>
        <w:t>week-old NEMO</w:t>
      </w:r>
      <w:r w:rsidRPr="008B5EF8">
        <w:rPr>
          <w:rFonts w:ascii="Arial" w:eastAsia="MS Mincho" w:hAnsi="Arial" w:cs="Arial"/>
          <w:color w:val="auto"/>
          <w:sz w:val="24"/>
          <w:szCs w:val="24"/>
          <w:vertAlign w:val="superscript"/>
          <w:lang w:val="en-US"/>
        </w:rPr>
        <w:t>Δ</w:t>
      </w:r>
      <w:r w:rsidR="00DB3BBE">
        <w:rPr>
          <w:rFonts w:ascii="Arial" w:eastAsia="MS Mincho" w:hAnsi="Arial" w:cs="Arial"/>
          <w:color w:val="auto"/>
          <w:sz w:val="24"/>
          <w:szCs w:val="24"/>
          <w:vertAlign w:val="superscript"/>
          <w:lang w:val="en-US"/>
        </w:rPr>
        <w:t>H</w:t>
      </w:r>
      <w:r w:rsidRPr="008B5EF8">
        <w:rPr>
          <w:rFonts w:ascii="Arial" w:eastAsia="MS Mincho" w:hAnsi="Arial" w:cs="Arial"/>
          <w:color w:val="auto"/>
          <w:sz w:val="24"/>
          <w:szCs w:val="24"/>
          <w:vertAlign w:val="superscript"/>
          <w:lang w:val="en-US"/>
        </w:rPr>
        <w:t>epa</w:t>
      </w:r>
      <w:r w:rsidRPr="008B5EF8">
        <w:rPr>
          <w:rFonts w:ascii="Arial" w:eastAsia="MS Mincho" w:hAnsi="Arial" w:cs="Arial"/>
          <w:color w:val="auto"/>
          <w:sz w:val="24"/>
          <w:szCs w:val="24"/>
          <w:lang w:val="en-US"/>
        </w:rPr>
        <w:t xml:space="preserve"> (lower images) and control mice (upper images) following the </w:t>
      </w:r>
      <w:r w:rsidRPr="008B5EF8">
        <w:rPr>
          <w:rFonts w:ascii="Arial" w:hAnsi="Arial" w:cs="Arial"/>
          <w:color w:val="auto"/>
          <w:sz w:val="24"/>
          <w:szCs w:val="24"/>
          <w:lang w:val="en-US"/>
        </w:rPr>
        <w:t xml:space="preserve">administration of either </w:t>
      </w:r>
      <w:r w:rsidRPr="008B5EF8">
        <w:rPr>
          <w:rFonts w:ascii="Arial" w:hAnsi="Arial" w:cs="Arial"/>
          <w:i/>
          <w:color w:val="auto"/>
          <w:sz w:val="24"/>
          <w:szCs w:val="24"/>
          <w:lang w:val="en-US"/>
        </w:rPr>
        <w:t>siLuc</w:t>
      </w:r>
      <w:r w:rsidRPr="008B5EF8">
        <w:rPr>
          <w:rFonts w:ascii="Arial" w:hAnsi="Arial" w:cs="Arial"/>
          <w:color w:val="auto"/>
          <w:sz w:val="24"/>
          <w:szCs w:val="24"/>
          <w:lang w:val="en-US"/>
        </w:rPr>
        <w:t xml:space="preserve"> (left) or </w:t>
      </w:r>
      <w:r w:rsidRPr="008B5EF8">
        <w:rPr>
          <w:rFonts w:ascii="Arial" w:hAnsi="Arial" w:cs="Arial"/>
          <w:i/>
          <w:color w:val="auto"/>
          <w:sz w:val="24"/>
          <w:szCs w:val="24"/>
          <w:lang w:val="en-US"/>
        </w:rPr>
        <w:t>siJnk2</w:t>
      </w:r>
      <w:r w:rsidR="002B2303" w:rsidRPr="008B5EF8">
        <w:rPr>
          <w:rFonts w:ascii="Arial" w:hAnsi="Arial" w:cs="Arial"/>
          <w:color w:val="auto"/>
          <w:sz w:val="24"/>
          <w:szCs w:val="24"/>
          <w:lang w:val="en-US"/>
        </w:rPr>
        <w:t>-LNP</w:t>
      </w:r>
      <w:r w:rsidRPr="008B5EF8">
        <w:rPr>
          <w:rFonts w:ascii="Arial" w:hAnsi="Arial" w:cs="Arial"/>
          <w:i/>
          <w:color w:val="auto"/>
          <w:sz w:val="24"/>
          <w:szCs w:val="24"/>
          <w:lang w:val="en-US"/>
        </w:rPr>
        <w:t xml:space="preserve"> </w:t>
      </w:r>
      <w:r w:rsidRPr="008B5EF8">
        <w:rPr>
          <w:rFonts w:ascii="Arial" w:hAnsi="Arial" w:cs="Arial"/>
          <w:color w:val="auto"/>
          <w:sz w:val="24"/>
          <w:szCs w:val="24"/>
          <w:lang w:val="en-US"/>
        </w:rPr>
        <w:t xml:space="preserve">(right) </w:t>
      </w:r>
      <w:r w:rsidRPr="008B5EF8">
        <w:rPr>
          <w:rFonts w:ascii="Arial" w:eastAsia="MS Mincho" w:hAnsi="Arial" w:cs="Arial"/>
          <w:color w:val="auto"/>
          <w:sz w:val="24"/>
          <w:szCs w:val="24"/>
          <w:lang w:val="en-US"/>
        </w:rPr>
        <w:t>stained with hematoxylin and eosin are shown (Scale bars: 100 μm). (D)</w:t>
      </w:r>
      <w:r w:rsidRPr="008B5EF8">
        <w:rPr>
          <w:rFonts w:ascii="Arial" w:eastAsia="MS Mincho" w:hAnsi="Arial" w:cs="Arial"/>
          <w:b/>
          <w:color w:val="auto"/>
          <w:sz w:val="24"/>
          <w:szCs w:val="24"/>
          <w:lang w:val="en-US"/>
        </w:rPr>
        <w:t xml:space="preserve"> </w:t>
      </w:r>
      <w:r w:rsidRPr="008B5EF8">
        <w:rPr>
          <w:rFonts w:ascii="Arial" w:hAnsi="Arial" w:cs="Arial"/>
          <w:color w:val="auto"/>
          <w:sz w:val="24"/>
          <w:szCs w:val="24"/>
          <w:lang w:val="en-US"/>
        </w:rPr>
        <w:t>Illustrative images of CD11b</w:t>
      </w:r>
      <w:r w:rsidRPr="008B5EF8">
        <w:rPr>
          <w:rFonts w:ascii="Arial" w:hAnsi="Arial" w:cs="Arial"/>
          <w:color w:val="auto"/>
          <w:sz w:val="24"/>
          <w:szCs w:val="24"/>
          <w:vertAlign w:val="superscript"/>
          <w:lang w:val="en-US"/>
        </w:rPr>
        <w:t>+</w:t>
      </w:r>
      <w:r w:rsidRPr="008B5EF8">
        <w:rPr>
          <w:rFonts w:ascii="Arial" w:hAnsi="Arial" w:cs="Arial"/>
          <w:color w:val="auto"/>
          <w:sz w:val="24"/>
          <w:szCs w:val="24"/>
          <w:lang w:val="en-US"/>
        </w:rPr>
        <w:t>F4/80</w:t>
      </w:r>
      <w:r w:rsidRPr="008B5EF8">
        <w:rPr>
          <w:rFonts w:ascii="Arial" w:hAnsi="Arial" w:cs="Arial"/>
          <w:color w:val="auto"/>
          <w:sz w:val="24"/>
          <w:szCs w:val="24"/>
          <w:vertAlign w:val="superscript"/>
          <w:lang w:val="en-US"/>
        </w:rPr>
        <w:t>+</w:t>
      </w:r>
      <w:r w:rsidRPr="008B5EF8">
        <w:rPr>
          <w:rFonts w:ascii="Arial" w:hAnsi="Arial" w:cs="Arial"/>
          <w:color w:val="auto"/>
          <w:sz w:val="24"/>
          <w:szCs w:val="24"/>
          <w:lang w:val="en-US"/>
        </w:rPr>
        <w:t xml:space="preserve">stainings by immunofluorescence performed on liver cryoslides of 12-week-old </w:t>
      </w:r>
      <w:r w:rsidRPr="008B5EF8">
        <w:rPr>
          <w:rFonts w:ascii="Arial" w:eastAsia="MS Mincho" w:hAnsi="Arial" w:cs="Arial"/>
          <w:color w:val="auto"/>
          <w:sz w:val="24"/>
          <w:szCs w:val="24"/>
          <w:lang w:val="en-US"/>
        </w:rPr>
        <w:t>NEMO</w:t>
      </w:r>
      <w:r w:rsidR="00DB3BBE">
        <w:rPr>
          <w:rFonts w:ascii="Arial" w:eastAsia="MS Mincho" w:hAnsi="Arial" w:cs="Arial"/>
          <w:color w:val="auto"/>
          <w:sz w:val="24"/>
          <w:szCs w:val="24"/>
          <w:vertAlign w:val="superscript"/>
          <w:lang w:val="en-US"/>
        </w:rPr>
        <w:t>control</w:t>
      </w:r>
      <w:r w:rsidRPr="008B5EF8">
        <w:rPr>
          <w:rFonts w:ascii="Arial" w:eastAsia="MS Mincho" w:hAnsi="Arial" w:cs="Arial"/>
          <w:color w:val="auto"/>
          <w:sz w:val="24"/>
          <w:szCs w:val="24"/>
          <w:vertAlign w:val="superscript"/>
          <w:lang w:val="en-US"/>
        </w:rPr>
        <w:t xml:space="preserve"> </w:t>
      </w:r>
      <w:r w:rsidRPr="008B5EF8">
        <w:rPr>
          <w:rFonts w:ascii="Arial" w:eastAsia="MS Mincho" w:hAnsi="Arial" w:cs="Arial"/>
          <w:color w:val="auto"/>
          <w:sz w:val="24"/>
          <w:szCs w:val="24"/>
          <w:lang w:val="en-US"/>
        </w:rPr>
        <w:t>(upper images) and NEMO</w:t>
      </w:r>
      <w:r w:rsidR="00DB3BBE" w:rsidRPr="008B5EF8">
        <w:rPr>
          <w:rFonts w:ascii="Arial" w:eastAsia="MS Mincho" w:hAnsi="Arial" w:cs="Arial"/>
          <w:color w:val="auto"/>
          <w:sz w:val="24"/>
          <w:szCs w:val="24"/>
          <w:vertAlign w:val="superscript"/>
          <w:lang w:val="en-US"/>
        </w:rPr>
        <w:t>Δ</w:t>
      </w:r>
      <w:r w:rsidR="00DB3BBE" w:rsidRPr="00DB3BBE">
        <w:rPr>
          <w:rFonts w:ascii="Arial" w:eastAsia="MS Mincho" w:hAnsi="Arial" w:cs="Arial"/>
          <w:color w:val="auto"/>
          <w:sz w:val="24"/>
          <w:szCs w:val="24"/>
          <w:vertAlign w:val="superscript"/>
          <w:lang w:val="en-US"/>
        </w:rPr>
        <w:t>H</w:t>
      </w:r>
      <w:r w:rsidRPr="008B5EF8">
        <w:rPr>
          <w:rFonts w:ascii="Arial" w:eastAsia="MS Mincho" w:hAnsi="Arial" w:cs="Arial"/>
          <w:color w:val="auto"/>
          <w:sz w:val="24"/>
          <w:szCs w:val="24"/>
          <w:vertAlign w:val="superscript"/>
          <w:lang w:val="en-US"/>
        </w:rPr>
        <w:t>epa</w:t>
      </w:r>
      <w:r w:rsidRPr="008B5EF8">
        <w:rPr>
          <w:rFonts w:ascii="Arial" w:hAnsi="Arial" w:cs="Arial"/>
          <w:color w:val="auto"/>
          <w:sz w:val="24"/>
          <w:szCs w:val="24"/>
          <w:lang w:val="en-US"/>
        </w:rPr>
        <w:t xml:space="preserve"> mice (lower images) after being subjected to </w:t>
      </w:r>
      <w:r w:rsidRPr="008B5EF8">
        <w:rPr>
          <w:rFonts w:ascii="Arial" w:hAnsi="Arial" w:cs="Arial"/>
          <w:i/>
          <w:color w:val="auto"/>
          <w:sz w:val="24"/>
          <w:szCs w:val="24"/>
          <w:lang w:val="en-US"/>
        </w:rPr>
        <w:t>siLuc</w:t>
      </w:r>
      <w:r w:rsidRPr="008B5EF8">
        <w:rPr>
          <w:rFonts w:ascii="Arial" w:hAnsi="Arial" w:cs="Arial"/>
          <w:color w:val="auto"/>
          <w:sz w:val="24"/>
          <w:szCs w:val="24"/>
          <w:lang w:val="en-US"/>
        </w:rPr>
        <w:t xml:space="preserve"> (left) or </w:t>
      </w:r>
      <w:r w:rsidRPr="008B5EF8">
        <w:rPr>
          <w:rFonts w:ascii="Arial" w:hAnsi="Arial" w:cs="Arial"/>
          <w:i/>
          <w:color w:val="auto"/>
          <w:sz w:val="24"/>
          <w:szCs w:val="24"/>
          <w:lang w:val="en-US"/>
        </w:rPr>
        <w:t>siJnk2</w:t>
      </w:r>
      <w:r w:rsidR="002B2303" w:rsidRPr="008B5EF8">
        <w:rPr>
          <w:rFonts w:ascii="Arial" w:hAnsi="Arial" w:cs="Arial"/>
          <w:color w:val="auto"/>
          <w:sz w:val="24"/>
          <w:szCs w:val="24"/>
          <w:lang w:val="en-US"/>
        </w:rPr>
        <w:t>-LNP</w:t>
      </w:r>
      <w:r w:rsidRPr="008B5EF8">
        <w:rPr>
          <w:rFonts w:ascii="Arial" w:hAnsi="Arial" w:cs="Arial"/>
          <w:color w:val="auto"/>
          <w:sz w:val="24"/>
          <w:szCs w:val="24"/>
          <w:lang w:val="en-US"/>
        </w:rPr>
        <w:t xml:space="preserve"> injections (right). Positive CD11b</w:t>
      </w:r>
      <w:r w:rsidRPr="008B5EF8">
        <w:rPr>
          <w:rFonts w:ascii="Arial" w:hAnsi="Arial" w:cs="Arial"/>
          <w:color w:val="auto"/>
          <w:sz w:val="24"/>
          <w:szCs w:val="24"/>
          <w:vertAlign w:val="superscript"/>
          <w:lang w:val="en-US"/>
        </w:rPr>
        <w:t>+</w:t>
      </w:r>
      <w:r w:rsidRPr="008B5EF8">
        <w:rPr>
          <w:rFonts w:ascii="Arial" w:hAnsi="Arial" w:cs="Arial"/>
          <w:color w:val="auto"/>
          <w:sz w:val="24"/>
          <w:szCs w:val="24"/>
          <w:lang w:val="en-US"/>
        </w:rPr>
        <w:t>F4/80</w:t>
      </w:r>
      <w:r w:rsidRPr="008B5EF8">
        <w:rPr>
          <w:rFonts w:ascii="Arial" w:hAnsi="Arial" w:cs="Arial"/>
          <w:color w:val="auto"/>
          <w:sz w:val="24"/>
          <w:szCs w:val="24"/>
          <w:vertAlign w:val="superscript"/>
          <w:lang w:val="en-US"/>
        </w:rPr>
        <w:t>+</w:t>
      </w:r>
      <w:r w:rsidRPr="008B5EF8">
        <w:rPr>
          <w:rFonts w:ascii="Arial" w:hAnsi="Arial" w:cs="Arial"/>
          <w:color w:val="auto"/>
          <w:sz w:val="24"/>
          <w:szCs w:val="24"/>
          <w:lang w:val="en-US"/>
        </w:rPr>
        <w:t xml:space="preserve"> cells are stained green; total cells were counter-stained with DAPI (blue). (Scale bars: 100 </w:t>
      </w:r>
      <w:r w:rsidRPr="008B5EF8">
        <w:rPr>
          <w:rFonts w:ascii="Arial" w:hAnsi="Arial" w:cs="Arial"/>
          <w:color w:val="auto"/>
          <w:sz w:val="24"/>
          <w:szCs w:val="24"/>
        </w:rPr>
        <w:t>μ</w:t>
      </w:r>
      <w:r w:rsidRPr="008B5EF8">
        <w:rPr>
          <w:rFonts w:ascii="Arial" w:hAnsi="Arial" w:cs="Arial"/>
          <w:color w:val="auto"/>
          <w:sz w:val="24"/>
          <w:szCs w:val="24"/>
          <w:lang w:val="en-US"/>
        </w:rPr>
        <w:t xml:space="preserve">m). Arrows indicate positive cells. </w:t>
      </w:r>
      <w:r w:rsidRPr="008B5EF8">
        <w:rPr>
          <w:rFonts w:ascii="Arial" w:eastAsia="MS Mincho" w:hAnsi="Arial" w:cs="Arial"/>
          <w:color w:val="auto"/>
          <w:sz w:val="24"/>
          <w:szCs w:val="24"/>
          <w:lang w:val="en-US"/>
        </w:rPr>
        <w:t>Data analysis is expressed as means ± S.E.M.</w:t>
      </w:r>
      <w:r w:rsidRPr="008B5EF8">
        <w:rPr>
          <w:rFonts w:ascii="Arial" w:hAnsi="Arial" w:cs="Arial"/>
          <w:b/>
          <w:color w:val="auto"/>
          <w:sz w:val="24"/>
          <w:szCs w:val="24"/>
          <w:lang w:val="en-US"/>
        </w:rPr>
        <w:t xml:space="preserve"> *</w:t>
      </w:r>
      <w:r w:rsidRPr="008B5EF8">
        <w:rPr>
          <w:rFonts w:ascii="Arial" w:eastAsia="MS Mincho" w:hAnsi="Arial" w:cs="Arial"/>
          <w:i/>
          <w:color w:val="auto"/>
          <w:sz w:val="24"/>
          <w:szCs w:val="24"/>
          <w:lang w:val="en-US"/>
        </w:rPr>
        <w:t>P</w:t>
      </w:r>
      <w:r w:rsidRPr="008B5EF8">
        <w:rPr>
          <w:rFonts w:ascii="Arial" w:eastAsia="MS Mincho" w:hAnsi="Arial" w:cs="Arial"/>
          <w:color w:val="auto"/>
          <w:sz w:val="24"/>
          <w:szCs w:val="24"/>
          <w:lang w:val="en-US"/>
        </w:rPr>
        <w:t>&lt;0.05, **</w:t>
      </w:r>
      <w:r w:rsidRPr="008B5EF8">
        <w:rPr>
          <w:rFonts w:ascii="Arial" w:eastAsia="MS Mincho" w:hAnsi="Arial" w:cs="Arial"/>
          <w:i/>
          <w:color w:val="auto"/>
          <w:sz w:val="24"/>
          <w:szCs w:val="24"/>
          <w:lang w:val="en-US"/>
        </w:rPr>
        <w:t>P</w:t>
      </w:r>
      <w:r w:rsidRPr="008B5EF8">
        <w:rPr>
          <w:rFonts w:ascii="Arial" w:eastAsia="MS Mincho" w:hAnsi="Arial" w:cs="Arial"/>
          <w:color w:val="auto"/>
          <w:sz w:val="24"/>
          <w:szCs w:val="24"/>
          <w:lang w:val="en-US"/>
        </w:rPr>
        <w:t>&lt;0.01, ***</w:t>
      </w:r>
      <w:r w:rsidRPr="008B5EF8">
        <w:rPr>
          <w:rFonts w:ascii="Arial" w:eastAsia="MS Mincho" w:hAnsi="Arial" w:cs="Arial"/>
          <w:i/>
          <w:color w:val="auto"/>
          <w:sz w:val="24"/>
          <w:szCs w:val="24"/>
          <w:lang w:val="en-US"/>
        </w:rPr>
        <w:t>P</w:t>
      </w:r>
      <w:r w:rsidRPr="008B5EF8">
        <w:rPr>
          <w:rFonts w:ascii="Arial" w:eastAsia="MS Mincho" w:hAnsi="Arial" w:cs="Arial"/>
          <w:color w:val="auto"/>
          <w:sz w:val="24"/>
          <w:szCs w:val="24"/>
          <w:lang w:val="en-US"/>
        </w:rPr>
        <w:t>&lt;0.001.</w:t>
      </w:r>
    </w:p>
    <w:p w:rsidR="008B5EF8" w:rsidRDefault="008B5EF8" w:rsidP="00A67342">
      <w:pPr>
        <w:spacing w:line="360" w:lineRule="auto"/>
        <w:jc w:val="center"/>
        <w:rPr>
          <w:rFonts w:ascii="Arial" w:hAnsi="Arial" w:cs="Arial"/>
          <w:sz w:val="24"/>
          <w:lang w:val="en-US"/>
        </w:rPr>
      </w:pPr>
    </w:p>
    <w:p w:rsidR="009D738F" w:rsidRPr="00B575DF" w:rsidRDefault="00D80D6A" w:rsidP="00A67342">
      <w:pPr>
        <w:pStyle w:val="Ttulo1"/>
        <w:spacing w:line="360" w:lineRule="auto"/>
        <w:jc w:val="both"/>
        <w:rPr>
          <w:rFonts w:ascii="Arial" w:hAnsi="Arial" w:cs="Arial"/>
          <w:color w:val="auto"/>
          <w:sz w:val="24"/>
          <w:szCs w:val="24"/>
          <w:lang w:val="en-US"/>
        </w:rPr>
      </w:pPr>
      <w:bookmarkStart w:id="4" w:name="_Toc21510357"/>
      <w:r w:rsidRPr="00B575DF">
        <w:rPr>
          <w:rFonts w:ascii="Arial" w:hAnsi="Arial" w:cs="Arial"/>
          <w:b/>
          <w:color w:val="auto"/>
          <w:sz w:val="24"/>
          <w:szCs w:val="24"/>
          <w:lang w:val="en-US"/>
        </w:rPr>
        <w:lastRenderedPageBreak/>
        <w:t xml:space="preserve">Suppl. Figure </w:t>
      </w:r>
      <w:bookmarkEnd w:id="4"/>
      <w:r w:rsidR="004C0DFB">
        <w:rPr>
          <w:rFonts w:ascii="Arial" w:hAnsi="Arial" w:cs="Arial"/>
          <w:b/>
          <w:color w:val="auto"/>
          <w:sz w:val="24"/>
          <w:szCs w:val="24"/>
          <w:lang w:val="en-US"/>
        </w:rPr>
        <w:t>3</w:t>
      </w:r>
      <w:r w:rsidR="008B5EF8" w:rsidRPr="00B575DF">
        <w:rPr>
          <w:rFonts w:ascii="Arial" w:hAnsi="Arial" w:cs="Arial"/>
          <w:b/>
          <w:color w:val="auto"/>
          <w:sz w:val="24"/>
          <w:szCs w:val="24"/>
          <w:lang w:val="en-US"/>
        </w:rPr>
        <w:t xml:space="preserve">. </w:t>
      </w:r>
      <w:r w:rsidRPr="00B575DF">
        <w:rPr>
          <w:rFonts w:ascii="Arial" w:hAnsi="Arial" w:cs="Arial"/>
          <w:color w:val="auto"/>
          <w:sz w:val="24"/>
          <w:szCs w:val="24"/>
          <w:lang w:val="en-US"/>
        </w:rPr>
        <w:t>(A) The presence of CD11b</w:t>
      </w:r>
      <w:r w:rsidRPr="00B575DF">
        <w:rPr>
          <w:rFonts w:ascii="Arial" w:hAnsi="Arial" w:cs="Arial"/>
          <w:color w:val="auto"/>
          <w:sz w:val="24"/>
          <w:szCs w:val="24"/>
          <w:vertAlign w:val="superscript"/>
          <w:lang w:val="en-US"/>
        </w:rPr>
        <w:t>+</w:t>
      </w:r>
      <w:r w:rsidRPr="00B575DF">
        <w:rPr>
          <w:rFonts w:ascii="Arial" w:hAnsi="Arial" w:cs="Arial"/>
          <w:color w:val="auto"/>
          <w:sz w:val="24"/>
          <w:szCs w:val="24"/>
          <w:lang w:val="en-US"/>
        </w:rPr>
        <w:t>/F4/80 cells in the liver were analyzed per IF and quantified as positive cells per view field (left). Absolute number of proinflammatory monocytes (CD45</w:t>
      </w:r>
      <w:r w:rsidRPr="00B575DF">
        <w:rPr>
          <w:rFonts w:ascii="Arial" w:hAnsi="Arial" w:cs="Arial"/>
          <w:color w:val="auto"/>
          <w:sz w:val="24"/>
          <w:szCs w:val="24"/>
          <w:vertAlign w:val="superscript"/>
          <w:lang w:val="en-US"/>
        </w:rPr>
        <w:t>+</w:t>
      </w:r>
      <w:r w:rsidRPr="00B575DF">
        <w:rPr>
          <w:rFonts w:ascii="Arial" w:hAnsi="Arial" w:cs="Arial"/>
          <w:color w:val="auto"/>
          <w:sz w:val="24"/>
          <w:szCs w:val="24"/>
          <w:lang w:val="en-US"/>
        </w:rPr>
        <w:t>/CD11b</w:t>
      </w:r>
      <w:r w:rsidRPr="00B575DF">
        <w:rPr>
          <w:rFonts w:ascii="Arial" w:hAnsi="Arial" w:cs="Arial"/>
          <w:color w:val="auto"/>
          <w:sz w:val="24"/>
          <w:szCs w:val="24"/>
          <w:vertAlign w:val="superscript"/>
          <w:lang w:val="en-US"/>
        </w:rPr>
        <w:t>+</w:t>
      </w:r>
      <w:r w:rsidRPr="00B575DF">
        <w:rPr>
          <w:rFonts w:ascii="Arial" w:hAnsi="Arial" w:cs="Arial"/>
          <w:color w:val="auto"/>
          <w:sz w:val="24"/>
          <w:szCs w:val="24"/>
          <w:lang w:val="en-US"/>
        </w:rPr>
        <w:t xml:space="preserve"> /Gr1.1</w:t>
      </w:r>
      <w:r w:rsidRPr="00B575DF">
        <w:rPr>
          <w:rFonts w:ascii="Arial" w:hAnsi="Arial" w:cs="Arial"/>
          <w:color w:val="auto"/>
          <w:sz w:val="24"/>
          <w:szCs w:val="24"/>
          <w:vertAlign w:val="superscript"/>
          <w:lang w:val="en-US"/>
        </w:rPr>
        <w:t>+</w:t>
      </w:r>
      <w:r w:rsidRPr="00B575DF">
        <w:rPr>
          <w:rFonts w:ascii="Arial" w:hAnsi="Arial" w:cs="Arial"/>
          <w:color w:val="auto"/>
          <w:sz w:val="24"/>
          <w:szCs w:val="24"/>
          <w:lang w:val="en-US"/>
        </w:rPr>
        <w:t>/F4/80</w:t>
      </w:r>
      <w:r w:rsidRPr="00B575DF">
        <w:rPr>
          <w:rFonts w:ascii="Arial" w:hAnsi="Arial" w:cs="Arial"/>
          <w:bCs/>
          <w:color w:val="auto"/>
          <w:sz w:val="24"/>
          <w:szCs w:val="24"/>
          <w:vertAlign w:val="superscript"/>
          <w:lang w:val="en-US"/>
        </w:rPr>
        <w:t>+</w:t>
      </w:r>
      <w:r w:rsidRPr="00B575DF">
        <w:rPr>
          <w:rFonts w:ascii="Arial" w:hAnsi="Arial" w:cs="Arial"/>
          <w:color w:val="auto"/>
          <w:sz w:val="24"/>
          <w:szCs w:val="24"/>
          <w:lang w:val="en-US"/>
        </w:rPr>
        <w:t>) (center) as well as pro-inflammatory monocyte fraction among CD45</w:t>
      </w:r>
      <w:r w:rsidRPr="00B575DF">
        <w:rPr>
          <w:rFonts w:ascii="Arial" w:hAnsi="Arial" w:cs="Arial"/>
          <w:color w:val="auto"/>
          <w:sz w:val="24"/>
          <w:szCs w:val="24"/>
          <w:vertAlign w:val="superscript"/>
          <w:lang w:val="en-US"/>
        </w:rPr>
        <w:t>+</w:t>
      </w:r>
      <w:r w:rsidRPr="00B575DF">
        <w:rPr>
          <w:rFonts w:ascii="Arial" w:hAnsi="Arial" w:cs="Arial"/>
          <w:color w:val="auto"/>
          <w:sz w:val="24"/>
          <w:szCs w:val="24"/>
          <w:lang w:val="en-US"/>
        </w:rPr>
        <w:t xml:space="preserve"> cells (right) following flow cytometry analysis are analyzed. Quantification was determined using FlowJo 7.6. </w:t>
      </w:r>
      <w:r w:rsidRPr="00B575DF">
        <w:rPr>
          <w:rFonts w:ascii="Arial" w:eastAsia="MS Mincho" w:hAnsi="Arial" w:cs="Arial"/>
          <w:color w:val="auto"/>
          <w:sz w:val="24"/>
          <w:szCs w:val="24"/>
          <w:lang w:val="en-US"/>
        </w:rPr>
        <w:t>Data are presented as means ± S.E.M. *</w:t>
      </w:r>
      <w:r w:rsidRPr="00B575DF">
        <w:rPr>
          <w:rFonts w:ascii="Arial" w:eastAsia="MS Mincho" w:hAnsi="Arial" w:cs="Arial"/>
          <w:i/>
          <w:color w:val="auto"/>
          <w:sz w:val="24"/>
          <w:szCs w:val="24"/>
          <w:lang w:val="en-US"/>
        </w:rPr>
        <w:t>P</w:t>
      </w:r>
      <w:r w:rsidRPr="00B575DF">
        <w:rPr>
          <w:rFonts w:ascii="Arial" w:eastAsia="MS Mincho" w:hAnsi="Arial" w:cs="Arial"/>
          <w:color w:val="auto"/>
          <w:sz w:val="24"/>
          <w:szCs w:val="24"/>
          <w:lang w:val="en-US"/>
        </w:rPr>
        <w:t>&lt;0.05, **</w:t>
      </w:r>
      <w:r w:rsidRPr="00B575DF">
        <w:rPr>
          <w:rFonts w:ascii="Arial" w:eastAsia="MS Mincho" w:hAnsi="Arial" w:cs="Arial"/>
          <w:i/>
          <w:color w:val="auto"/>
          <w:sz w:val="24"/>
          <w:szCs w:val="24"/>
          <w:lang w:val="en-US"/>
        </w:rPr>
        <w:t>P</w:t>
      </w:r>
      <w:r w:rsidRPr="00B575DF">
        <w:rPr>
          <w:rFonts w:ascii="Arial" w:eastAsia="MS Mincho" w:hAnsi="Arial" w:cs="Arial"/>
          <w:color w:val="auto"/>
          <w:sz w:val="24"/>
          <w:szCs w:val="24"/>
          <w:lang w:val="en-US"/>
        </w:rPr>
        <w:t>&lt;0.01, ***</w:t>
      </w:r>
      <w:r w:rsidRPr="00B575DF">
        <w:rPr>
          <w:rFonts w:ascii="Arial" w:eastAsia="MS Mincho" w:hAnsi="Arial" w:cs="Arial"/>
          <w:i/>
          <w:color w:val="auto"/>
          <w:sz w:val="24"/>
          <w:szCs w:val="24"/>
          <w:lang w:val="en-US"/>
        </w:rPr>
        <w:t>P</w:t>
      </w:r>
      <w:r w:rsidRPr="00B575DF">
        <w:rPr>
          <w:rFonts w:ascii="Arial" w:eastAsia="MS Mincho" w:hAnsi="Arial" w:cs="Arial"/>
          <w:color w:val="auto"/>
          <w:sz w:val="24"/>
          <w:szCs w:val="24"/>
          <w:lang w:val="en-US"/>
        </w:rPr>
        <w:t>&lt;0.001.</w:t>
      </w:r>
      <w:r w:rsidR="009D738F" w:rsidRPr="00B575DF">
        <w:rPr>
          <w:rFonts w:ascii="Arial" w:eastAsia="MS Mincho" w:hAnsi="Arial" w:cs="Arial"/>
          <w:color w:val="auto"/>
          <w:sz w:val="24"/>
          <w:szCs w:val="24"/>
          <w:lang w:val="en-US"/>
        </w:rPr>
        <w:t xml:space="preserve"> </w:t>
      </w:r>
      <w:r w:rsidR="009D738F" w:rsidRPr="00B575DF">
        <w:rPr>
          <w:rFonts w:ascii="Arial" w:hAnsi="Arial" w:cs="Arial"/>
          <w:color w:val="auto"/>
          <w:sz w:val="24"/>
          <w:szCs w:val="24"/>
          <w:lang w:val="en-US"/>
        </w:rPr>
        <w:t>Representative images of Cleaved Caspase-3 (B)</w:t>
      </w:r>
      <w:r w:rsidR="009D738F" w:rsidRPr="00B575DF">
        <w:rPr>
          <w:rFonts w:ascii="Arial" w:hAnsi="Arial" w:cs="Arial"/>
          <w:b/>
          <w:color w:val="auto"/>
          <w:sz w:val="24"/>
          <w:szCs w:val="24"/>
          <w:lang w:val="en-US"/>
        </w:rPr>
        <w:t xml:space="preserve"> </w:t>
      </w:r>
      <w:r w:rsidR="009D738F" w:rsidRPr="00B575DF">
        <w:rPr>
          <w:rFonts w:ascii="Arial" w:hAnsi="Arial" w:cs="Arial"/>
          <w:color w:val="auto"/>
          <w:sz w:val="24"/>
          <w:szCs w:val="24"/>
          <w:lang w:val="en-US"/>
        </w:rPr>
        <w:t>and PCNA</w:t>
      </w:r>
      <w:r w:rsidR="009D738F" w:rsidRPr="00B575DF">
        <w:rPr>
          <w:rFonts w:ascii="Arial" w:hAnsi="Arial" w:cs="Arial"/>
          <w:b/>
          <w:color w:val="auto"/>
          <w:sz w:val="24"/>
          <w:szCs w:val="24"/>
          <w:lang w:val="en-US"/>
        </w:rPr>
        <w:t xml:space="preserve"> </w:t>
      </w:r>
      <w:r w:rsidR="009D738F" w:rsidRPr="00B575DF">
        <w:rPr>
          <w:rFonts w:ascii="Arial" w:hAnsi="Arial" w:cs="Arial"/>
          <w:color w:val="auto"/>
          <w:sz w:val="24"/>
          <w:szCs w:val="24"/>
          <w:lang w:val="en-US"/>
        </w:rPr>
        <w:t>(C)</w:t>
      </w:r>
      <w:r w:rsidR="009D738F" w:rsidRPr="00B575DF">
        <w:rPr>
          <w:rFonts w:ascii="Arial" w:hAnsi="Arial" w:cs="Arial"/>
          <w:b/>
          <w:color w:val="auto"/>
          <w:sz w:val="24"/>
          <w:szCs w:val="24"/>
          <w:lang w:val="en-US"/>
        </w:rPr>
        <w:t xml:space="preserve"> </w:t>
      </w:r>
      <w:r w:rsidR="009D738F" w:rsidRPr="00B575DF">
        <w:rPr>
          <w:rFonts w:ascii="Arial" w:hAnsi="Arial" w:cs="Arial"/>
          <w:color w:val="auto"/>
          <w:sz w:val="24"/>
          <w:szCs w:val="24"/>
          <w:lang w:val="en-US"/>
        </w:rPr>
        <w:t xml:space="preserve">expression on paraffin-embedded liver samples of </w:t>
      </w:r>
      <w:r w:rsidR="009D738F" w:rsidRPr="00B575DF">
        <w:rPr>
          <w:rFonts w:ascii="Arial" w:eastAsia="MS Mincho" w:hAnsi="Arial" w:cs="Arial"/>
          <w:color w:val="auto"/>
          <w:sz w:val="24"/>
          <w:szCs w:val="24"/>
          <w:lang w:val="en-US"/>
        </w:rPr>
        <w:t>NEMO</w:t>
      </w:r>
      <w:r w:rsidR="009D738F" w:rsidRPr="00B575DF">
        <w:rPr>
          <w:rFonts w:ascii="Arial" w:eastAsia="MS Mincho" w:hAnsi="Arial" w:cs="Arial"/>
          <w:color w:val="auto"/>
          <w:sz w:val="24"/>
          <w:szCs w:val="24"/>
          <w:vertAlign w:val="superscript"/>
          <w:lang w:val="en-US"/>
        </w:rPr>
        <w:t>control</w:t>
      </w:r>
      <w:r w:rsidR="009D738F" w:rsidRPr="00B575DF">
        <w:rPr>
          <w:rFonts w:ascii="Arial" w:hAnsi="Arial" w:cs="Arial"/>
          <w:color w:val="auto"/>
          <w:sz w:val="24"/>
          <w:szCs w:val="24"/>
          <w:lang w:val="en-US"/>
        </w:rPr>
        <w:t xml:space="preserve"> (upper images) and </w:t>
      </w:r>
      <w:r w:rsidR="009D738F" w:rsidRPr="00B575DF">
        <w:rPr>
          <w:rFonts w:ascii="Arial" w:eastAsia="MS Mincho" w:hAnsi="Arial" w:cs="Arial"/>
          <w:color w:val="auto"/>
          <w:sz w:val="24"/>
          <w:szCs w:val="24"/>
          <w:lang w:val="en-US"/>
        </w:rPr>
        <w:t>NEMO</w:t>
      </w:r>
      <w:r w:rsidR="009D738F" w:rsidRPr="00B575DF">
        <w:rPr>
          <w:rFonts w:ascii="Arial" w:eastAsia="MS Mincho" w:hAnsi="Arial" w:cs="Arial"/>
          <w:color w:val="auto"/>
          <w:sz w:val="24"/>
          <w:szCs w:val="24"/>
          <w:vertAlign w:val="superscript"/>
        </w:rPr>
        <w:t>Δ</w:t>
      </w:r>
      <w:r w:rsidR="00DB3BBE">
        <w:rPr>
          <w:rFonts w:ascii="Arial" w:eastAsia="MS Mincho" w:hAnsi="Arial" w:cs="Arial"/>
          <w:color w:val="auto"/>
          <w:sz w:val="24"/>
          <w:szCs w:val="24"/>
          <w:vertAlign w:val="superscript"/>
          <w:lang w:val="en-US"/>
        </w:rPr>
        <w:t>H</w:t>
      </w:r>
      <w:r w:rsidR="009D738F" w:rsidRPr="00B575DF">
        <w:rPr>
          <w:rFonts w:ascii="Arial" w:eastAsia="MS Mincho" w:hAnsi="Arial" w:cs="Arial"/>
          <w:color w:val="auto"/>
          <w:sz w:val="24"/>
          <w:szCs w:val="24"/>
          <w:vertAlign w:val="superscript"/>
          <w:lang w:val="en-US"/>
        </w:rPr>
        <w:t>epa</w:t>
      </w:r>
      <w:r w:rsidR="009D738F" w:rsidRPr="00B575DF">
        <w:rPr>
          <w:rFonts w:ascii="Arial" w:eastAsia="MS Mincho" w:hAnsi="Arial" w:cs="Arial"/>
          <w:color w:val="auto"/>
          <w:sz w:val="24"/>
          <w:szCs w:val="24"/>
          <w:lang w:val="en-US"/>
        </w:rPr>
        <w:t xml:space="preserve"> (lower images) was analyzed by immunohistochemistry at the age of 12-weeks after </w:t>
      </w:r>
      <w:r w:rsidR="009D738F" w:rsidRPr="00B575DF">
        <w:rPr>
          <w:rFonts w:ascii="Arial" w:eastAsia="MS Mincho" w:hAnsi="Arial" w:cs="Arial"/>
          <w:i/>
          <w:color w:val="auto"/>
          <w:sz w:val="24"/>
          <w:szCs w:val="24"/>
          <w:lang w:val="en-US"/>
        </w:rPr>
        <w:t xml:space="preserve">siLuc </w:t>
      </w:r>
      <w:r w:rsidR="009D738F" w:rsidRPr="00B575DF">
        <w:rPr>
          <w:rFonts w:ascii="Arial" w:eastAsia="MS Mincho" w:hAnsi="Arial" w:cs="Arial"/>
          <w:color w:val="auto"/>
          <w:sz w:val="24"/>
          <w:szCs w:val="24"/>
          <w:lang w:val="en-US"/>
        </w:rPr>
        <w:t xml:space="preserve">(left) or </w:t>
      </w:r>
      <w:r w:rsidR="009D738F" w:rsidRPr="00B575DF">
        <w:rPr>
          <w:rFonts w:ascii="Arial" w:eastAsia="MS Mincho" w:hAnsi="Arial" w:cs="Arial"/>
          <w:i/>
          <w:color w:val="auto"/>
          <w:sz w:val="24"/>
          <w:szCs w:val="24"/>
          <w:lang w:val="en-US"/>
        </w:rPr>
        <w:t>siJnk2</w:t>
      </w:r>
      <w:r w:rsidR="009D738F" w:rsidRPr="00B575DF">
        <w:rPr>
          <w:rFonts w:ascii="Arial" w:eastAsia="MS Mincho" w:hAnsi="Arial" w:cs="Arial"/>
          <w:color w:val="auto"/>
          <w:sz w:val="24"/>
          <w:szCs w:val="24"/>
          <w:lang w:val="en-US"/>
        </w:rPr>
        <w:t xml:space="preserve">-LNP (right) treatment. </w:t>
      </w:r>
      <w:r w:rsidR="009D738F" w:rsidRPr="00B575DF">
        <w:rPr>
          <w:rFonts w:ascii="Arial" w:hAnsi="Arial" w:cs="Arial"/>
          <w:color w:val="auto"/>
          <w:sz w:val="24"/>
          <w:szCs w:val="24"/>
          <w:lang w:val="en-US"/>
        </w:rPr>
        <w:t>Arrows indicate positive cells. (Scale bar: 100 µm).</w:t>
      </w:r>
      <w:r w:rsidR="00B52E74">
        <w:rPr>
          <w:rFonts w:ascii="Arial" w:hAnsi="Arial" w:cs="Arial"/>
          <w:color w:val="auto"/>
          <w:sz w:val="24"/>
          <w:szCs w:val="24"/>
          <w:lang w:val="en-US"/>
        </w:rPr>
        <w:t xml:space="preserve"> </w:t>
      </w:r>
      <w:r w:rsidR="00B52E74" w:rsidRPr="006E5C5A">
        <w:rPr>
          <w:rFonts w:ascii="Arial" w:hAnsi="Arial" w:cs="Arial"/>
          <w:color w:val="auto"/>
          <w:sz w:val="24"/>
          <w:szCs w:val="24"/>
          <w:lang w:val="en-US"/>
        </w:rPr>
        <w:t xml:space="preserve">(D) </w:t>
      </w:r>
      <w:r w:rsidR="000B6EC6" w:rsidRPr="00DB3BBE">
        <w:rPr>
          <w:rFonts w:ascii="Arial" w:hAnsi="Arial" w:cs="Arial"/>
          <w:color w:val="auto"/>
          <w:sz w:val="24"/>
          <w:szCs w:val="24"/>
          <w:lang w:val="en-US"/>
        </w:rPr>
        <w:t>Representative images of Ki-67 stainings by immunofluorescence performed on liver cryoslides of 12-week-old NEMO</w:t>
      </w:r>
      <w:r w:rsidR="00DB3BBE" w:rsidRPr="00DB3BBE">
        <w:rPr>
          <w:rFonts w:ascii="Arial" w:hAnsi="Arial" w:cs="Arial"/>
          <w:color w:val="auto"/>
          <w:sz w:val="24"/>
          <w:szCs w:val="24"/>
          <w:vertAlign w:val="superscript"/>
          <w:lang w:val="en-US"/>
        </w:rPr>
        <w:t>control</w:t>
      </w:r>
      <w:r w:rsidR="000B6EC6" w:rsidRPr="00DB3BBE">
        <w:rPr>
          <w:rFonts w:ascii="Arial" w:hAnsi="Arial" w:cs="Arial"/>
          <w:color w:val="auto"/>
          <w:sz w:val="24"/>
          <w:szCs w:val="24"/>
          <w:vertAlign w:val="superscript"/>
          <w:lang w:val="en-US"/>
        </w:rPr>
        <w:t xml:space="preserve"> </w:t>
      </w:r>
      <w:r w:rsidR="000B6EC6" w:rsidRPr="00DB3BBE">
        <w:rPr>
          <w:rFonts w:ascii="Arial" w:hAnsi="Arial" w:cs="Arial"/>
          <w:color w:val="auto"/>
          <w:sz w:val="24"/>
          <w:szCs w:val="24"/>
          <w:lang w:val="en-US"/>
        </w:rPr>
        <w:t>(upper images) and NEMO</w:t>
      </w:r>
      <w:r w:rsidR="000B6EC6" w:rsidRPr="00DB3BBE">
        <w:rPr>
          <w:rFonts w:ascii="Arial" w:hAnsi="Arial" w:cs="Arial"/>
          <w:color w:val="auto"/>
          <w:sz w:val="24"/>
          <w:szCs w:val="24"/>
          <w:vertAlign w:val="superscript"/>
        </w:rPr>
        <w:t>Δ</w:t>
      </w:r>
      <w:r w:rsidR="00DB3BBE" w:rsidRPr="00DB3BBE">
        <w:rPr>
          <w:rFonts w:ascii="Arial" w:hAnsi="Arial" w:cs="Arial"/>
          <w:color w:val="auto"/>
          <w:sz w:val="24"/>
          <w:szCs w:val="24"/>
          <w:vertAlign w:val="superscript"/>
          <w:lang w:val="en-US"/>
        </w:rPr>
        <w:t>H</w:t>
      </w:r>
      <w:r w:rsidR="000B6EC6" w:rsidRPr="00DB3BBE">
        <w:rPr>
          <w:rFonts w:ascii="Arial" w:hAnsi="Arial" w:cs="Arial"/>
          <w:color w:val="auto"/>
          <w:sz w:val="24"/>
          <w:szCs w:val="24"/>
          <w:vertAlign w:val="superscript"/>
          <w:lang w:val="en-US"/>
        </w:rPr>
        <w:t>epa</w:t>
      </w:r>
      <w:r w:rsidR="000B6EC6" w:rsidRPr="00DB3BBE">
        <w:rPr>
          <w:rFonts w:ascii="Arial" w:hAnsi="Arial" w:cs="Arial"/>
          <w:color w:val="auto"/>
          <w:sz w:val="24"/>
          <w:szCs w:val="24"/>
          <w:lang w:val="en-US"/>
        </w:rPr>
        <w:t xml:space="preserve"> mice (lower images) after treatment with </w:t>
      </w:r>
      <w:r w:rsidR="000B6EC6" w:rsidRPr="00DB3BBE">
        <w:rPr>
          <w:rFonts w:ascii="Arial" w:hAnsi="Arial" w:cs="Arial"/>
          <w:i/>
          <w:iCs/>
          <w:color w:val="auto"/>
          <w:sz w:val="24"/>
          <w:szCs w:val="24"/>
          <w:lang w:val="en-US"/>
        </w:rPr>
        <w:t>siLuc</w:t>
      </w:r>
      <w:r w:rsidR="000B6EC6" w:rsidRPr="00DB3BBE">
        <w:rPr>
          <w:rFonts w:ascii="Arial" w:hAnsi="Arial" w:cs="Arial"/>
          <w:color w:val="auto"/>
          <w:sz w:val="24"/>
          <w:szCs w:val="24"/>
          <w:lang w:val="en-US"/>
        </w:rPr>
        <w:t xml:space="preserve"> (left) or </w:t>
      </w:r>
      <w:r w:rsidR="000B6EC6" w:rsidRPr="00DB3BBE">
        <w:rPr>
          <w:rFonts w:ascii="Arial" w:hAnsi="Arial" w:cs="Arial"/>
          <w:i/>
          <w:iCs/>
          <w:color w:val="auto"/>
          <w:sz w:val="24"/>
          <w:szCs w:val="24"/>
          <w:lang w:val="en-US"/>
        </w:rPr>
        <w:t>siJnk2</w:t>
      </w:r>
      <w:r w:rsidR="000B6EC6" w:rsidRPr="00DB3BBE">
        <w:rPr>
          <w:rFonts w:ascii="Arial" w:hAnsi="Arial" w:cs="Arial"/>
          <w:color w:val="auto"/>
          <w:sz w:val="24"/>
          <w:szCs w:val="24"/>
          <w:lang w:val="en-US"/>
        </w:rPr>
        <w:t xml:space="preserve">-LNP injections (right) and quantification of positive Ki67-positive cells in hepatocytes versus </w:t>
      </w:r>
      <w:r w:rsidR="008C06E0">
        <w:rPr>
          <w:rFonts w:ascii="Arial" w:hAnsi="Arial" w:cs="Arial"/>
          <w:color w:val="auto"/>
          <w:sz w:val="24"/>
          <w:szCs w:val="24"/>
          <w:lang w:val="en-US"/>
        </w:rPr>
        <w:t>NPC (</w:t>
      </w:r>
      <w:r w:rsidR="000B6EC6" w:rsidRPr="00DB3BBE">
        <w:rPr>
          <w:rFonts w:ascii="Arial" w:hAnsi="Arial" w:cs="Arial"/>
          <w:color w:val="auto"/>
          <w:sz w:val="24"/>
          <w:szCs w:val="24"/>
          <w:lang w:val="en-US"/>
        </w:rPr>
        <w:t>non-parenchymal cells</w:t>
      </w:r>
      <w:r w:rsidR="008C06E0">
        <w:rPr>
          <w:rFonts w:ascii="Arial" w:hAnsi="Arial" w:cs="Arial"/>
          <w:color w:val="auto"/>
          <w:sz w:val="24"/>
          <w:szCs w:val="24"/>
          <w:lang w:val="en-US"/>
        </w:rPr>
        <w:t>)</w:t>
      </w:r>
      <w:r w:rsidR="000B6EC6" w:rsidRPr="00DB3BBE">
        <w:rPr>
          <w:rFonts w:ascii="Arial" w:hAnsi="Arial" w:cs="Arial"/>
          <w:color w:val="auto"/>
          <w:sz w:val="24"/>
          <w:szCs w:val="24"/>
          <w:lang w:val="en-US"/>
        </w:rPr>
        <w:t xml:space="preserve"> (Scale bars: 100 </w:t>
      </w:r>
      <w:r w:rsidR="000B6EC6" w:rsidRPr="00DB3BBE">
        <w:rPr>
          <w:rFonts w:ascii="Arial" w:hAnsi="Arial" w:cs="Arial"/>
          <w:color w:val="auto"/>
          <w:sz w:val="24"/>
          <w:szCs w:val="24"/>
        </w:rPr>
        <w:t>μ</w:t>
      </w:r>
      <w:r w:rsidR="000B6EC6" w:rsidRPr="00DB3BBE">
        <w:rPr>
          <w:rFonts w:ascii="Arial" w:hAnsi="Arial" w:cs="Arial"/>
          <w:color w:val="auto"/>
          <w:sz w:val="24"/>
          <w:szCs w:val="24"/>
          <w:lang w:val="en-US"/>
        </w:rPr>
        <w:t xml:space="preserve">m). </w:t>
      </w:r>
      <w:r w:rsidR="00B52E74" w:rsidRPr="00DB3BBE">
        <w:rPr>
          <w:rFonts w:ascii="Arial" w:eastAsia="MS Mincho" w:hAnsi="Arial" w:cs="Arial"/>
          <w:color w:val="auto"/>
          <w:sz w:val="24"/>
          <w:szCs w:val="24"/>
          <w:lang w:val="en-US"/>
        </w:rPr>
        <w:t>Data are presented as means ± S.E.M. *P&lt;0.05, **P&lt;0.01, ***P&lt;0.001.</w:t>
      </w:r>
    </w:p>
    <w:p w:rsidR="008B5EF8" w:rsidRPr="00B575DF" w:rsidRDefault="008B5EF8" w:rsidP="00A67342">
      <w:pPr>
        <w:spacing w:line="360" w:lineRule="auto"/>
        <w:rPr>
          <w:rFonts w:ascii="Arial" w:hAnsi="Arial" w:cs="Arial"/>
          <w:sz w:val="24"/>
          <w:szCs w:val="24"/>
          <w:lang w:val="en-US"/>
        </w:rPr>
      </w:pPr>
    </w:p>
    <w:p w:rsidR="00492237" w:rsidRDefault="00492237" w:rsidP="00A67342">
      <w:pPr>
        <w:spacing w:line="360" w:lineRule="auto"/>
        <w:jc w:val="both"/>
        <w:rPr>
          <w:rFonts w:ascii="Arial" w:eastAsia="MS Mincho" w:hAnsi="Arial" w:cs="Arial"/>
          <w:sz w:val="24"/>
          <w:szCs w:val="24"/>
          <w:lang w:val="en-US"/>
        </w:rPr>
      </w:pPr>
      <w:bookmarkStart w:id="5" w:name="_Toc21510358"/>
      <w:r w:rsidRPr="00B575DF">
        <w:rPr>
          <w:rFonts w:ascii="Arial" w:hAnsi="Arial" w:cs="Arial"/>
          <w:b/>
          <w:sz w:val="24"/>
          <w:szCs w:val="24"/>
          <w:lang w:val="en-US"/>
        </w:rPr>
        <w:t xml:space="preserve">Suppl. Figure </w:t>
      </w:r>
      <w:bookmarkEnd w:id="5"/>
      <w:r w:rsidR="0077773A">
        <w:rPr>
          <w:rFonts w:ascii="Arial" w:hAnsi="Arial" w:cs="Arial"/>
          <w:b/>
          <w:sz w:val="24"/>
          <w:szCs w:val="24"/>
          <w:lang w:val="en-US"/>
        </w:rPr>
        <w:t>4</w:t>
      </w:r>
      <w:r w:rsidR="008B5EF8" w:rsidRPr="00B575DF">
        <w:rPr>
          <w:rFonts w:ascii="Arial" w:hAnsi="Arial" w:cs="Arial"/>
          <w:b/>
          <w:sz w:val="24"/>
          <w:szCs w:val="24"/>
          <w:lang w:val="en-US"/>
        </w:rPr>
        <w:t>.</w:t>
      </w:r>
      <w:r w:rsidR="008B5EF8" w:rsidRPr="00B575DF">
        <w:rPr>
          <w:rFonts w:ascii="Arial" w:hAnsi="Arial" w:cs="Arial"/>
          <w:sz w:val="24"/>
          <w:szCs w:val="24"/>
          <w:lang w:val="en-US"/>
        </w:rPr>
        <w:t xml:space="preserve"> </w:t>
      </w:r>
      <w:r w:rsidRPr="00B575DF">
        <w:rPr>
          <w:rFonts w:ascii="Arial" w:hAnsi="Arial" w:cs="Arial"/>
          <w:sz w:val="24"/>
          <w:szCs w:val="24"/>
          <w:lang w:val="en-US"/>
        </w:rPr>
        <w:t>(A)</w:t>
      </w:r>
      <w:r w:rsidRPr="00B575DF">
        <w:rPr>
          <w:rFonts w:ascii="Arial" w:hAnsi="Arial" w:cs="Arial"/>
          <w:b/>
          <w:sz w:val="24"/>
          <w:szCs w:val="24"/>
          <w:lang w:val="en-US"/>
        </w:rPr>
        <w:t xml:space="preserve"> </w:t>
      </w:r>
      <w:r w:rsidRPr="00B575DF">
        <w:rPr>
          <w:rFonts w:ascii="Arial" w:hAnsi="Arial" w:cs="Arial"/>
          <w:sz w:val="24"/>
          <w:szCs w:val="24"/>
          <w:lang w:val="en-US"/>
        </w:rPr>
        <w:t>Serum liver AST (left), GLDH (center) and AP (right)</w:t>
      </w:r>
      <w:r w:rsidRPr="00B575DF">
        <w:rPr>
          <w:rFonts w:ascii="Arial" w:eastAsia="MS Mincho" w:hAnsi="Arial" w:cs="Arial"/>
          <w:b/>
          <w:sz w:val="24"/>
          <w:szCs w:val="24"/>
          <w:lang w:val="en-US"/>
        </w:rPr>
        <w:t xml:space="preserve"> </w:t>
      </w:r>
      <w:r w:rsidRPr="00B575DF">
        <w:rPr>
          <w:rFonts w:ascii="Arial" w:eastAsia="MS Mincho" w:hAnsi="Arial" w:cs="Arial"/>
          <w:sz w:val="24"/>
          <w:szCs w:val="24"/>
          <w:lang w:val="en-US"/>
        </w:rPr>
        <w:t>of 12-week-old NEMO</w:t>
      </w:r>
      <w:r w:rsidRPr="00B575DF">
        <w:rPr>
          <w:rFonts w:ascii="Arial" w:eastAsia="MS Mincho" w:hAnsi="Arial" w:cs="Arial"/>
          <w:sz w:val="24"/>
          <w:szCs w:val="24"/>
          <w:vertAlign w:val="superscript"/>
          <w:lang w:val="en-US"/>
        </w:rPr>
        <w:t>Δhepa</w:t>
      </w:r>
      <w:r w:rsidRPr="00B575DF">
        <w:rPr>
          <w:rFonts w:ascii="Arial" w:eastAsia="MS Mincho" w:hAnsi="Arial" w:cs="Arial"/>
          <w:sz w:val="24"/>
          <w:szCs w:val="24"/>
          <w:lang w:val="en-US"/>
        </w:rPr>
        <w:t xml:space="preserve"> animals and the respective controls are represented in U/l. </w:t>
      </w:r>
      <w:r w:rsidRPr="00B575DF">
        <w:rPr>
          <w:rFonts w:ascii="Arial" w:hAnsi="Arial" w:cs="Arial"/>
          <w:i/>
          <w:sz w:val="24"/>
          <w:szCs w:val="24"/>
          <w:lang w:val="en-US"/>
        </w:rPr>
        <w:t>(B)</w:t>
      </w:r>
      <w:r w:rsidRPr="00B575DF">
        <w:rPr>
          <w:rFonts w:ascii="Arial" w:hAnsi="Arial" w:cs="Arial"/>
          <w:b/>
          <w:sz w:val="24"/>
          <w:szCs w:val="24"/>
          <w:lang w:val="en-US"/>
        </w:rPr>
        <w:t xml:space="preserve"> </w:t>
      </w:r>
      <w:r w:rsidRPr="00B575DF">
        <w:rPr>
          <w:rFonts w:ascii="Arial" w:eastAsia="MS Mincho" w:hAnsi="Arial" w:cs="Arial"/>
          <w:sz w:val="24"/>
          <w:szCs w:val="24"/>
          <w:lang w:val="en-US"/>
        </w:rPr>
        <w:t xml:space="preserve">Liver weight (left), body weight (center) and liver weight </w:t>
      </w:r>
      <w:r w:rsidRPr="00B575DF">
        <w:rPr>
          <w:rFonts w:ascii="Arial" w:eastAsia="MS Mincho" w:hAnsi="Arial" w:cs="Arial"/>
          <w:i/>
          <w:sz w:val="24"/>
          <w:szCs w:val="24"/>
          <w:lang w:val="en-US"/>
        </w:rPr>
        <w:t>versus</w:t>
      </w:r>
      <w:r w:rsidRPr="00B575DF">
        <w:rPr>
          <w:rFonts w:ascii="Arial" w:eastAsia="MS Mincho" w:hAnsi="Arial" w:cs="Arial"/>
          <w:sz w:val="24"/>
          <w:szCs w:val="24"/>
          <w:lang w:val="en-US"/>
        </w:rPr>
        <w:t xml:space="preserve"> body weight ratio (right) is graphed for the identical treatment groups. (C) Representative images of Sirius red staining of paraffin-embedded NEMO</w:t>
      </w:r>
      <w:r w:rsidRPr="00B575DF">
        <w:rPr>
          <w:rFonts w:ascii="Arial" w:eastAsia="MS Mincho" w:hAnsi="Arial" w:cs="Arial"/>
          <w:sz w:val="24"/>
          <w:szCs w:val="24"/>
          <w:vertAlign w:val="superscript"/>
          <w:lang w:val="en-US"/>
        </w:rPr>
        <w:t>Δhepa</w:t>
      </w:r>
      <w:r w:rsidRPr="00B575DF">
        <w:rPr>
          <w:rFonts w:ascii="Arial" w:eastAsia="MS Mincho" w:hAnsi="Arial" w:cs="Arial"/>
          <w:sz w:val="24"/>
          <w:szCs w:val="24"/>
          <w:lang w:val="en-US"/>
        </w:rPr>
        <w:t xml:space="preserve"> + </w:t>
      </w:r>
      <w:r w:rsidRPr="00B575DF">
        <w:rPr>
          <w:rFonts w:ascii="Arial" w:eastAsia="MS Mincho" w:hAnsi="Arial" w:cs="Arial"/>
          <w:i/>
          <w:sz w:val="24"/>
          <w:szCs w:val="24"/>
          <w:lang w:val="en-US"/>
        </w:rPr>
        <w:t>siLuc</w:t>
      </w:r>
      <w:r w:rsidRPr="00B575DF">
        <w:rPr>
          <w:rFonts w:ascii="Arial" w:eastAsia="MS Mincho" w:hAnsi="Arial" w:cs="Arial"/>
          <w:sz w:val="24"/>
          <w:szCs w:val="24"/>
          <w:lang w:val="en-US"/>
        </w:rPr>
        <w:t xml:space="preserve"> and NEMO</w:t>
      </w:r>
      <w:r w:rsidRPr="00B575DF">
        <w:rPr>
          <w:rFonts w:ascii="Arial" w:eastAsia="MS Mincho" w:hAnsi="Arial" w:cs="Arial"/>
          <w:sz w:val="24"/>
          <w:szCs w:val="24"/>
          <w:vertAlign w:val="superscript"/>
          <w:lang w:val="en-US"/>
        </w:rPr>
        <w:t xml:space="preserve">Δhepa </w:t>
      </w:r>
      <w:r w:rsidRPr="00B575DF">
        <w:rPr>
          <w:rFonts w:ascii="Arial" w:eastAsia="MS Mincho" w:hAnsi="Arial" w:cs="Arial"/>
          <w:sz w:val="24"/>
          <w:szCs w:val="24"/>
          <w:lang w:val="en-US"/>
        </w:rPr>
        <w:t xml:space="preserve">+ </w:t>
      </w:r>
      <w:r w:rsidRPr="00B575DF">
        <w:rPr>
          <w:rFonts w:ascii="Arial" w:eastAsia="MS Mincho" w:hAnsi="Arial" w:cs="Arial"/>
          <w:i/>
          <w:sz w:val="24"/>
          <w:szCs w:val="24"/>
          <w:lang w:val="en-US"/>
        </w:rPr>
        <w:t>siJnk2</w:t>
      </w:r>
      <w:r w:rsidRPr="00B575DF">
        <w:rPr>
          <w:rFonts w:ascii="Arial" w:eastAsia="MS Mincho" w:hAnsi="Arial" w:cs="Arial"/>
          <w:sz w:val="24"/>
          <w:szCs w:val="24"/>
          <w:lang w:val="en-US"/>
        </w:rPr>
        <w:t>-LNP treated mice at 52 weeks of age is shown (left). Quantification of positive Sirius red (SR) area fraction (right) was performed with Image J© (Scale bars: 100 μm). (D) Flow cytometry analysis was performed in whole livers of NEMO</w:t>
      </w:r>
      <w:r w:rsidRPr="00B575DF">
        <w:rPr>
          <w:rFonts w:ascii="Arial" w:eastAsia="MS Mincho" w:hAnsi="Arial" w:cs="Arial"/>
          <w:sz w:val="24"/>
          <w:szCs w:val="24"/>
          <w:vertAlign w:val="superscript"/>
          <w:lang w:val="en-US"/>
        </w:rPr>
        <w:t>Δhepa</w:t>
      </w:r>
      <w:r w:rsidRPr="00B575DF">
        <w:rPr>
          <w:rFonts w:ascii="Arial" w:eastAsia="MS Mincho" w:hAnsi="Arial" w:cs="Arial"/>
          <w:sz w:val="24"/>
          <w:szCs w:val="24"/>
          <w:lang w:val="en-US"/>
        </w:rPr>
        <w:t xml:space="preserve"> mice after therapeutic administration of either </w:t>
      </w:r>
      <w:r w:rsidRPr="00B575DF">
        <w:rPr>
          <w:rFonts w:ascii="Arial" w:eastAsia="MS Mincho" w:hAnsi="Arial" w:cs="Arial"/>
          <w:i/>
          <w:sz w:val="24"/>
          <w:szCs w:val="24"/>
          <w:lang w:val="en-US"/>
        </w:rPr>
        <w:t>siLuc</w:t>
      </w:r>
      <w:r w:rsidRPr="00B575DF">
        <w:rPr>
          <w:rFonts w:ascii="Arial" w:eastAsia="MS Mincho" w:hAnsi="Arial" w:cs="Arial"/>
          <w:sz w:val="24"/>
          <w:szCs w:val="24"/>
          <w:lang w:val="en-US"/>
        </w:rPr>
        <w:t xml:space="preserve"> or </w:t>
      </w:r>
      <w:r w:rsidRPr="00B575DF">
        <w:rPr>
          <w:rFonts w:ascii="Arial" w:eastAsia="MS Mincho" w:hAnsi="Arial" w:cs="Arial"/>
          <w:i/>
          <w:sz w:val="24"/>
          <w:szCs w:val="24"/>
          <w:lang w:val="en-US"/>
        </w:rPr>
        <w:t>siJnk2</w:t>
      </w:r>
      <w:r w:rsidRPr="00B575DF">
        <w:rPr>
          <w:rFonts w:ascii="Arial" w:eastAsia="MS Mincho" w:hAnsi="Arial" w:cs="Arial"/>
          <w:sz w:val="24"/>
          <w:szCs w:val="24"/>
          <w:lang w:val="en-US"/>
        </w:rPr>
        <w:t>-LNP at the age of 52 weeks. Absolute number of pro-inflammatory cells (CD45+/CD11b+ /Gr1.1+/F4/80+) (left) as well as proinflammatory cell fraction among CD45+ cells (right) were quantified by using FlowJo 7.6. Data analysis is expressed as means ± S.E.M. *P&lt;0.05, **P&lt;0.01, ***P&lt;0.001.</w:t>
      </w:r>
    </w:p>
    <w:p w:rsidR="00A67342" w:rsidRDefault="00A67342" w:rsidP="00A67342">
      <w:pPr>
        <w:spacing w:line="360" w:lineRule="auto"/>
        <w:jc w:val="both"/>
        <w:rPr>
          <w:rFonts w:ascii="Arial" w:eastAsia="MS Mincho" w:hAnsi="Arial" w:cs="Arial"/>
          <w:sz w:val="24"/>
          <w:szCs w:val="24"/>
          <w:lang w:val="en-US"/>
        </w:rPr>
      </w:pPr>
    </w:p>
    <w:p w:rsidR="00A67342" w:rsidRPr="00B575DF" w:rsidRDefault="00A67342" w:rsidP="00A67342">
      <w:pPr>
        <w:spacing w:line="360" w:lineRule="auto"/>
        <w:jc w:val="both"/>
        <w:rPr>
          <w:rFonts w:ascii="Arial" w:eastAsia="MS Mincho" w:hAnsi="Arial" w:cs="Arial"/>
          <w:sz w:val="24"/>
          <w:szCs w:val="24"/>
          <w:lang w:val="en-US"/>
        </w:rPr>
      </w:pPr>
    </w:p>
    <w:p w:rsidR="0074227D" w:rsidRPr="00B575DF" w:rsidRDefault="004C0DFB" w:rsidP="00530C39">
      <w:pPr>
        <w:pStyle w:val="Ttulo1"/>
        <w:rPr>
          <w:rFonts w:ascii="Arial" w:hAnsi="Arial" w:cs="Arial"/>
          <w:b/>
          <w:color w:val="000000" w:themeColor="text1"/>
          <w:sz w:val="24"/>
          <w:szCs w:val="24"/>
          <w:lang w:val="en-US"/>
        </w:rPr>
      </w:pPr>
      <w:r>
        <w:rPr>
          <w:rFonts w:ascii="Arial" w:hAnsi="Arial" w:cs="Arial"/>
          <w:b/>
          <w:color w:val="000000" w:themeColor="text1"/>
          <w:sz w:val="24"/>
          <w:szCs w:val="24"/>
          <w:lang w:val="en-US"/>
        </w:rPr>
        <w:lastRenderedPageBreak/>
        <w:t>SUPPLEMENTARY REFERENCES</w:t>
      </w:r>
    </w:p>
    <w:p w:rsidR="005A15FA" w:rsidRPr="00B575DF" w:rsidRDefault="005A15FA" w:rsidP="005A15FA">
      <w:pPr>
        <w:rPr>
          <w:rFonts w:ascii="Arial" w:hAnsi="Arial" w:cs="Arial"/>
          <w:sz w:val="24"/>
          <w:szCs w:val="24"/>
          <w:lang w:val="en-US"/>
        </w:rPr>
      </w:pPr>
    </w:p>
    <w:p w:rsidR="00B575DF" w:rsidRPr="00B575DF" w:rsidRDefault="003E7136" w:rsidP="00B575DF">
      <w:pPr>
        <w:pStyle w:val="EndNoteBibliography"/>
        <w:ind w:left="720" w:hanging="720"/>
        <w:rPr>
          <w:rFonts w:ascii="Arial" w:hAnsi="Arial" w:cs="Arial"/>
          <w:sz w:val="24"/>
          <w:szCs w:val="24"/>
        </w:rPr>
      </w:pPr>
      <w:r w:rsidRPr="00B575DF">
        <w:rPr>
          <w:rFonts w:ascii="Arial" w:hAnsi="Arial" w:cs="Arial"/>
          <w:sz w:val="24"/>
          <w:szCs w:val="24"/>
        </w:rPr>
        <w:fldChar w:fldCharType="begin"/>
      </w:r>
      <w:r w:rsidR="0074227D" w:rsidRPr="00B575DF">
        <w:rPr>
          <w:rFonts w:ascii="Arial" w:hAnsi="Arial" w:cs="Arial"/>
          <w:sz w:val="24"/>
          <w:szCs w:val="24"/>
        </w:rPr>
        <w:instrText xml:space="preserve"> ADDIN EN.REFLIST </w:instrText>
      </w:r>
      <w:r w:rsidRPr="00B575DF">
        <w:rPr>
          <w:rFonts w:ascii="Arial" w:hAnsi="Arial" w:cs="Arial"/>
          <w:sz w:val="24"/>
          <w:szCs w:val="24"/>
        </w:rPr>
        <w:fldChar w:fldCharType="separate"/>
      </w:r>
      <w:r w:rsidR="00B575DF" w:rsidRPr="00B575DF">
        <w:rPr>
          <w:rFonts w:ascii="Arial" w:hAnsi="Arial" w:cs="Arial"/>
          <w:sz w:val="24"/>
          <w:szCs w:val="24"/>
        </w:rPr>
        <w:t>1.</w:t>
      </w:r>
      <w:r w:rsidR="00B575DF" w:rsidRPr="00B575DF">
        <w:rPr>
          <w:rFonts w:ascii="Arial" w:hAnsi="Arial" w:cs="Arial"/>
          <w:sz w:val="24"/>
          <w:szCs w:val="24"/>
        </w:rPr>
        <w:tab/>
        <w:t xml:space="preserve">Elvas F, Stroobants S, Wyffels L. Phosphatidylethanolamine targeting for cell death imaging in early treatment response evaluation and disease diagnosis. </w:t>
      </w:r>
      <w:r w:rsidR="00B575DF" w:rsidRPr="00B575DF">
        <w:rPr>
          <w:rFonts w:ascii="Arial" w:hAnsi="Arial" w:cs="Arial"/>
          <w:i/>
          <w:sz w:val="24"/>
          <w:szCs w:val="24"/>
        </w:rPr>
        <w:t>Apoptosis</w:t>
      </w:r>
      <w:r w:rsidR="00B575DF" w:rsidRPr="00B575DF">
        <w:rPr>
          <w:rFonts w:ascii="Arial" w:hAnsi="Arial" w:cs="Arial"/>
          <w:sz w:val="24"/>
          <w:szCs w:val="24"/>
        </w:rPr>
        <w:t xml:space="preserve"> 2017, </w:t>
      </w:r>
      <w:r w:rsidR="00B575DF" w:rsidRPr="00B575DF">
        <w:rPr>
          <w:rFonts w:ascii="Arial" w:hAnsi="Arial" w:cs="Arial"/>
          <w:b/>
          <w:sz w:val="24"/>
          <w:szCs w:val="24"/>
        </w:rPr>
        <w:t>22</w:t>
      </w:r>
      <w:r w:rsidR="00B575DF" w:rsidRPr="00B575DF">
        <w:rPr>
          <w:rFonts w:ascii="Arial" w:hAnsi="Arial" w:cs="Arial"/>
          <w:sz w:val="24"/>
          <w:szCs w:val="24"/>
        </w:rPr>
        <w:t>(8)</w:t>
      </w:r>
      <w:r w:rsidR="00B575DF" w:rsidRPr="00B575DF">
        <w:rPr>
          <w:rFonts w:ascii="Arial" w:hAnsi="Arial" w:cs="Arial"/>
          <w:b/>
          <w:sz w:val="24"/>
          <w:szCs w:val="24"/>
        </w:rPr>
        <w:t>:</w:t>
      </w:r>
      <w:r w:rsidR="00B575DF" w:rsidRPr="00B575DF">
        <w:rPr>
          <w:rFonts w:ascii="Arial" w:hAnsi="Arial" w:cs="Arial"/>
          <w:sz w:val="24"/>
          <w:szCs w:val="24"/>
        </w:rPr>
        <w:t xml:space="preserve"> 971-987.</w:t>
      </w:r>
    </w:p>
    <w:p w:rsidR="00B575DF" w:rsidRPr="00B575DF" w:rsidRDefault="00B575DF" w:rsidP="00B575DF">
      <w:pPr>
        <w:pStyle w:val="EndNoteBibliography"/>
        <w:spacing w:after="0"/>
        <w:rPr>
          <w:rFonts w:ascii="Arial" w:hAnsi="Arial" w:cs="Arial"/>
          <w:sz w:val="24"/>
          <w:szCs w:val="24"/>
        </w:rPr>
      </w:pPr>
    </w:p>
    <w:p w:rsidR="00B575DF" w:rsidRPr="00B575DF" w:rsidRDefault="00B575DF" w:rsidP="00B575DF">
      <w:pPr>
        <w:pStyle w:val="EndNoteBibliography"/>
        <w:ind w:left="720" w:hanging="720"/>
        <w:rPr>
          <w:rFonts w:ascii="Arial" w:hAnsi="Arial" w:cs="Arial"/>
          <w:sz w:val="24"/>
          <w:szCs w:val="24"/>
        </w:rPr>
      </w:pPr>
      <w:r w:rsidRPr="00B575DF">
        <w:rPr>
          <w:rFonts w:ascii="Arial" w:hAnsi="Arial" w:cs="Arial"/>
          <w:sz w:val="24"/>
          <w:szCs w:val="24"/>
        </w:rPr>
        <w:t>2.</w:t>
      </w:r>
      <w:r w:rsidRPr="00B575DF">
        <w:rPr>
          <w:rFonts w:ascii="Arial" w:hAnsi="Arial" w:cs="Arial"/>
          <w:sz w:val="24"/>
          <w:szCs w:val="24"/>
        </w:rPr>
        <w:tab/>
        <w:t>Gremse F, Theek B, Kunjachan S, Lederle W, Pardo A, Barth S</w:t>
      </w:r>
      <w:r w:rsidRPr="00B575DF">
        <w:rPr>
          <w:rFonts w:ascii="Arial" w:hAnsi="Arial" w:cs="Arial"/>
          <w:i/>
          <w:sz w:val="24"/>
          <w:szCs w:val="24"/>
        </w:rPr>
        <w:t>, et al.</w:t>
      </w:r>
      <w:r w:rsidRPr="00B575DF">
        <w:rPr>
          <w:rFonts w:ascii="Arial" w:hAnsi="Arial" w:cs="Arial"/>
          <w:sz w:val="24"/>
          <w:szCs w:val="24"/>
        </w:rPr>
        <w:t xml:space="preserve"> Absorption reconstruction improves biodistribution assessment of fluorescent nanoprobes using hybrid fluorescence-mediated tomography. </w:t>
      </w:r>
      <w:r w:rsidRPr="00B575DF">
        <w:rPr>
          <w:rFonts w:ascii="Arial" w:hAnsi="Arial" w:cs="Arial"/>
          <w:i/>
          <w:sz w:val="24"/>
          <w:szCs w:val="24"/>
        </w:rPr>
        <w:t>Theranostics</w:t>
      </w:r>
      <w:r w:rsidRPr="00B575DF">
        <w:rPr>
          <w:rFonts w:ascii="Arial" w:hAnsi="Arial" w:cs="Arial"/>
          <w:sz w:val="24"/>
          <w:szCs w:val="24"/>
        </w:rPr>
        <w:t xml:space="preserve"> 2014, </w:t>
      </w:r>
      <w:r w:rsidRPr="00B575DF">
        <w:rPr>
          <w:rFonts w:ascii="Arial" w:hAnsi="Arial" w:cs="Arial"/>
          <w:b/>
          <w:sz w:val="24"/>
          <w:szCs w:val="24"/>
        </w:rPr>
        <w:t>4</w:t>
      </w:r>
      <w:r w:rsidRPr="00B575DF">
        <w:rPr>
          <w:rFonts w:ascii="Arial" w:hAnsi="Arial" w:cs="Arial"/>
          <w:sz w:val="24"/>
          <w:szCs w:val="24"/>
        </w:rPr>
        <w:t>(10)</w:t>
      </w:r>
      <w:r w:rsidRPr="00B575DF">
        <w:rPr>
          <w:rFonts w:ascii="Arial" w:hAnsi="Arial" w:cs="Arial"/>
          <w:b/>
          <w:sz w:val="24"/>
          <w:szCs w:val="24"/>
        </w:rPr>
        <w:t>:</w:t>
      </w:r>
      <w:r w:rsidRPr="00B575DF">
        <w:rPr>
          <w:rFonts w:ascii="Arial" w:hAnsi="Arial" w:cs="Arial"/>
          <w:sz w:val="24"/>
          <w:szCs w:val="24"/>
        </w:rPr>
        <w:t xml:space="preserve"> 960-971.</w:t>
      </w:r>
    </w:p>
    <w:p w:rsidR="00B575DF" w:rsidRPr="00B575DF" w:rsidRDefault="00B575DF" w:rsidP="00B575DF">
      <w:pPr>
        <w:pStyle w:val="EndNoteBibliography"/>
        <w:spacing w:after="0"/>
        <w:rPr>
          <w:rFonts w:ascii="Arial" w:hAnsi="Arial" w:cs="Arial"/>
          <w:sz w:val="24"/>
          <w:szCs w:val="24"/>
        </w:rPr>
      </w:pPr>
    </w:p>
    <w:p w:rsidR="0074227D" w:rsidRDefault="00B575DF" w:rsidP="00FD1DB1">
      <w:pPr>
        <w:pStyle w:val="EndNoteBibliography"/>
        <w:ind w:left="720" w:hanging="720"/>
      </w:pPr>
      <w:r w:rsidRPr="00B575DF">
        <w:rPr>
          <w:rFonts w:ascii="Arial" w:hAnsi="Arial" w:cs="Arial"/>
          <w:sz w:val="24"/>
          <w:szCs w:val="24"/>
        </w:rPr>
        <w:t>3.</w:t>
      </w:r>
      <w:r w:rsidRPr="00B575DF">
        <w:rPr>
          <w:rFonts w:ascii="Arial" w:hAnsi="Arial" w:cs="Arial"/>
          <w:sz w:val="24"/>
          <w:szCs w:val="24"/>
        </w:rPr>
        <w:tab/>
        <w:t xml:space="preserve">Gremse F, Stärk M, Ehling J, Menzel JR, Lammers T, Kiessling F. Imalytics Preclinical: Interactive Analysis of Biomedical Volume Data. </w:t>
      </w:r>
      <w:r w:rsidRPr="00B575DF">
        <w:rPr>
          <w:rFonts w:ascii="Arial" w:hAnsi="Arial" w:cs="Arial"/>
          <w:i/>
          <w:sz w:val="24"/>
          <w:szCs w:val="24"/>
        </w:rPr>
        <w:t>Theranostics</w:t>
      </w:r>
      <w:r w:rsidRPr="00B575DF">
        <w:rPr>
          <w:rFonts w:ascii="Arial" w:hAnsi="Arial" w:cs="Arial"/>
          <w:sz w:val="24"/>
          <w:szCs w:val="24"/>
        </w:rPr>
        <w:t xml:space="preserve"> 2016, </w:t>
      </w:r>
      <w:r w:rsidRPr="00B575DF">
        <w:rPr>
          <w:rFonts w:ascii="Arial" w:hAnsi="Arial" w:cs="Arial"/>
          <w:b/>
          <w:sz w:val="24"/>
          <w:szCs w:val="24"/>
        </w:rPr>
        <w:t>6</w:t>
      </w:r>
      <w:r w:rsidRPr="00B575DF">
        <w:rPr>
          <w:rFonts w:ascii="Arial" w:hAnsi="Arial" w:cs="Arial"/>
          <w:sz w:val="24"/>
          <w:szCs w:val="24"/>
        </w:rPr>
        <w:t>(3)</w:t>
      </w:r>
      <w:r w:rsidRPr="00B575DF">
        <w:rPr>
          <w:rFonts w:ascii="Arial" w:hAnsi="Arial" w:cs="Arial"/>
          <w:b/>
          <w:sz w:val="24"/>
          <w:szCs w:val="24"/>
        </w:rPr>
        <w:t>:</w:t>
      </w:r>
      <w:r w:rsidRPr="00B575DF">
        <w:rPr>
          <w:rFonts w:ascii="Arial" w:hAnsi="Arial" w:cs="Arial"/>
          <w:sz w:val="24"/>
          <w:szCs w:val="24"/>
        </w:rPr>
        <w:t xml:space="preserve"> 328-341.</w:t>
      </w:r>
      <w:r w:rsidR="003E7136" w:rsidRPr="00B575DF">
        <w:rPr>
          <w:rFonts w:ascii="Arial" w:hAnsi="Arial" w:cs="Arial"/>
          <w:sz w:val="24"/>
          <w:szCs w:val="24"/>
        </w:rPr>
        <w:fldChar w:fldCharType="end"/>
      </w:r>
    </w:p>
    <w:sectPr w:rsidR="0074227D" w:rsidSect="00424425">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20D" w:rsidRDefault="0022520D" w:rsidP="009435FB">
      <w:pPr>
        <w:spacing w:after="0" w:line="240" w:lineRule="auto"/>
      </w:pPr>
      <w:r>
        <w:separator/>
      </w:r>
    </w:p>
  </w:endnote>
  <w:endnote w:type="continuationSeparator" w:id="0">
    <w:p w:rsidR="0022520D" w:rsidRDefault="0022520D" w:rsidP="00943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7408101"/>
      <w:docPartObj>
        <w:docPartGallery w:val="Page Numbers (Bottom of Page)"/>
        <w:docPartUnique/>
      </w:docPartObj>
    </w:sdtPr>
    <w:sdtEndPr>
      <w:rPr>
        <w:rFonts w:ascii="Arial" w:hAnsi="Arial" w:cs="Arial"/>
        <w:sz w:val="24"/>
        <w:szCs w:val="24"/>
      </w:rPr>
    </w:sdtEndPr>
    <w:sdtContent>
      <w:p w:rsidR="00B575DF" w:rsidRPr="00B575DF" w:rsidRDefault="003E7136">
        <w:pPr>
          <w:pStyle w:val="Piedepgina"/>
          <w:jc w:val="right"/>
          <w:rPr>
            <w:rFonts w:ascii="Arial" w:hAnsi="Arial" w:cs="Arial"/>
            <w:sz w:val="24"/>
            <w:szCs w:val="24"/>
          </w:rPr>
        </w:pPr>
        <w:r w:rsidRPr="00B575DF">
          <w:rPr>
            <w:rFonts w:ascii="Arial" w:hAnsi="Arial" w:cs="Arial"/>
            <w:sz w:val="24"/>
            <w:szCs w:val="24"/>
          </w:rPr>
          <w:fldChar w:fldCharType="begin"/>
        </w:r>
        <w:r w:rsidR="00B575DF" w:rsidRPr="00B575DF">
          <w:rPr>
            <w:rFonts w:ascii="Arial" w:hAnsi="Arial" w:cs="Arial"/>
            <w:sz w:val="24"/>
            <w:szCs w:val="24"/>
          </w:rPr>
          <w:instrText>PAGE   \* MERGEFORMAT</w:instrText>
        </w:r>
        <w:r w:rsidRPr="00B575DF">
          <w:rPr>
            <w:rFonts w:ascii="Arial" w:hAnsi="Arial" w:cs="Arial"/>
            <w:sz w:val="24"/>
            <w:szCs w:val="24"/>
          </w:rPr>
          <w:fldChar w:fldCharType="separate"/>
        </w:r>
        <w:r w:rsidR="00BB0F6A" w:rsidRPr="00BB0F6A">
          <w:rPr>
            <w:rFonts w:ascii="Arial" w:hAnsi="Arial" w:cs="Arial"/>
            <w:noProof/>
            <w:sz w:val="24"/>
            <w:szCs w:val="24"/>
            <w:lang w:val="es-ES"/>
          </w:rPr>
          <w:t>1</w:t>
        </w:r>
        <w:r w:rsidRPr="00B575DF">
          <w:rPr>
            <w:rFonts w:ascii="Arial" w:hAnsi="Arial" w:cs="Arial"/>
            <w:sz w:val="24"/>
            <w:szCs w:val="24"/>
          </w:rPr>
          <w:fldChar w:fldCharType="end"/>
        </w:r>
      </w:p>
    </w:sdtContent>
  </w:sdt>
  <w:p w:rsidR="009435FB" w:rsidRDefault="009435F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20D" w:rsidRDefault="0022520D" w:rsidP="009435FB">
      <w:pPr>
        <w:spacing w:after="0" w:line="240" w:lineRule="auto"/>
      </w:pPr>
      <w:r>
        <w:separator/>
      </w:r>
    </w:p>
  </w:footnote>
  <w:footnote w:type="continuationSeparator" w:id="0">
    <w:p w:rsidR="0022520D" w:rsidRDefault="0022520D" w:rsidP="009435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5DF" w:rsidRDefault="00B575DF">
    <w:pPr>
      <w:pStyle w:val="Encabezado"/>
      <w:jc w:val="right"/>
    </w:pPr>
  </w:p>
  <w:p w:rsidR="00B575DF" w:rsidRDefault="00B575D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94356"/>
    <w:multiLevelType w:val="hybridMultilevel"/>
    <w:tmpl w:val="ECFE5124"/>
    <w:lvl w:ilvl="0" w:tplc="FABCCB62">
      <w:start w:val="1"/>
      <w:numFmt w:val="upperLetter"/>
      <w:lvlText w:val="(%1)"/>
      <w:lvlJc w:val="left"/>
      <w:pPr>
        <w:ind w:left="720" w:hanging="360"/>
      </w:pPr>
      <w:rPr>
        <w:rFonts w:eastAsiaTheme="minorHAnsi" w:cstheme="minorBid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20A17C6B"/>
    <w:multiLevelType w:val="hybridMultilevel"/>
    <w:tmpl w:val="2DB27DDC"/>
    <w:lvl w:ilvl="0" w:tplc="E7F0A7EA">
      <w:start w:val="1"/>
      <w:numFmt w:val="upperLetter"/>
      <w:lvlText w:val="(%1)"/>
      <w:lvlJc w:val="left"/>
      <w:pPr>
        <w:ind w:left="360" w:hanging="360"/>
      </w:pPr>
      <w:rPr>
        <w:rFonts w:ascii="Arial" w:eastAsiaTheme="minorHAnsi" w:hAnsi="Arial" w:cstheme="minorBidi"/>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21D351F7"/>
    <w:multiLevelType w:val="hybridMultilevel"/>
    <w:tmpl w:val="CB925B7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22250D33"/>
    <w:multiLevelType w:val="hybridMultilevel"/>
    <w:tmpl w:val="E46A60D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58F570A3"/>
    <w:multiLevelType w:val="hybridMultilevel"/>
    <w:tmpl w:val="D152BF52"/>
    <w:lvl w:ilvl="0" w:tplc="7F9E4B3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5A0D7842"/>
    <w:multiLevelType w:val="hybridMultilevel"/>
    <w:tmpl w:val="F282083A"/>
    <w:lvl w:ilvl="0" w:tplc="44E2ED3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69E7099F"/>
    <w:multiLevelType w:val="hybridMultilevel"/>
    <w:tmpl w:val="E06AC6B4"/>
    <w:lvl w:ilvl="0" w:tplc="5914C1DE">
      <w:start w:val="1"/>
      <w:numFmt w:val="upperLetter"/>
      <w:lvlText w:val="(%1)"/>
      <w:lvlJc w:val="left"/>
      <w:pPr>
        <w:ind w:left="360" w:hanging="360"/>
      </w:pPr>
      <w:rPr>
        <w:rFonts w:ascii="Arial" w:eastAsiaTheme="minorHAnsi" w:hAnsi="Arial" w:cstheme="minorBidi"/>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nsid w:val="7CAF1008"/>
    <w:multiLevelType w:val="hybridMultilevel"/>
    <w:tmpl w:val="698E0EA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3"/>
  </w:num>
  <w:num w:numId="3">
    <w:abstractNumId w:val="2"/>
  </w:num>
  <w:num w:numId="4">
    <w:abstractNumId w:val="5"/>
  </w:num>
  <w:num w:numId="5">
    <w:abstractNumId w:val="4"/>
  </w:num>
  <w:num w:numId="6">
    <w:abstractNumId w:val="6"/>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Cell Death Diff&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74227D"/>
    <w:rsid w:val="0008180B"/>
    <w:rsid w:val="000B6EC6"/>
    <w:rsid w:val="000E6F88"/>
    <w:rsid w:val="00112815"/>
    <w:rsid w:val="0011693D"/>
    <w:rsid w:val="00191B28"/>
    <w:rsid w:val="0022520D"/>
    <w:rsid w:val="002B2303"/>
    <w:rsid w:val="002C191E"/>
    <w:rsid w:val="00382D1D"/>
    <w:rsid w:val="003B786C"/>
    <w:rsid w:val="003E7136"/>
    <w:rsid w:val="00405F9D"/>
    <w:rsid w:val="004121E7"/>
    <w:rsid w:val="00424425"/>
    <w:rsid w:val="00492237"/>
    <w:rsid w:val="004A4B14"/>
    <w:rsid w:val="004C0DFB"/>
    <w:rsid w:val="004D2057"/>
    <w:rsid w:val="00530C39"/>
    <w:rsid w:val="0059276B"/>
    <w:rsid w:val="00593EB0"/>
    <w:rsid w:val="005A0B5D"/>
    <w:rsid w:val="005A15FA"/>
    <w:rsid w:val="005D018E"/>
    <w:rsid w:val="00677E8F"/>
    <w:rsid w:val="006E5C5A"/>
    <w:rsid w:val="0074227D"/>
    <w:rsid w:val="00747B0D"/>
    <w:rsid w:val="00756655"/>
    <w:rsid w:val="0077773A"/>
    <w:rsid w:val="00794C49"/>
    <w:rsid w:val="008011C6"/>
    <w:rsid w:val="00845BAF"/>
    <w:rsid w:val="00855254"/>
    <w:rsid w:val="00885B9C"/>
    <w:rsid w:val="00890BEA"/>
    <w:rsid w:val="00894765"/>
    <w:rsid w:val="008B5EF8"/>
    <w:rsid w:val="008C06E0"/>
    <w:rsid w:val="008C163A"/>
    <w:rsid w:val="008C3795"/>
    <w:rsid w:val="008D15B0"/>
    <w:rsid w:val="008D2638"/>
    <w:rsid w:val="009068D6"/>
    <w:rsid w:val="00916961"/>
    <w:rsid w:val="009435FB"/>
    <w:rsid w:val="00975DDE"/>
    <w:rsid w:val="009B646D"/>
    <w:rsid w:val="009B64C2"/>
    <w:rsid w:val="009D738F"/>
    <w:rsid w:val="009F3725"/>
    <w:rsid w:val="009F3738"/>
    <w:rsid w:val="00A54D57"/>
    <w:rsid w:val="00A67342"/>
    <w:rsid w:val="00AB1779"/>
    <w:rsid w:val="00B4633F"/>
    <w:rsid w:val="00B52E74"/>
    <w:rsid w:val="00B575DF"/>
    <w:rsid w:val="00B62705"/>
    <w:rsid w:val="00B717ED"/>
    <w:rsid w:val="00BB0F6A"/>
    <w:rsid w:val="00BD4A1E"/>
    <w:rsid w:val="00C77A96"/>
    <w:rsid w:val="00C8518E"/>
    <w:rsid w:val="00CA2E24"/>
    <w:rsid w:val="00D34797"/>
    <w:rsid w:val="00D4296E"/>
    <w:rsid w:val="00D52D21"/>
    <w:rsid w:val="00D80840"/>
    <w:rsid w:val="00D80D6A"/>
    <w:rsid w:val="00D8150E"/>
    <w:rsid w:val="00DB3BBE"/>
    <w:rsid w:val="00DD7804"/>
    <w:rsid w:val="00E52CC3"/>
    <w:rsid w:val="00E67E0A"/>
    <w:rsid w:val="00E84B99"/>
    <w:rsid w:val="00E868DA"/>
    <w:rsid w:val="00EC5835"/>
    <w:rsid w:val="00EE286A"/>
    <w:rsid w:val="00F13781"/>
    <w:rsid w:val="00F466E2"/>
    <w:rsid w:val="00FB3C62"/>
    <w:rsid w:val="00FD1D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237"/>
  </w:style>
  <w:style w:type="paragraph" w:styleId="Ttulo1">
    <w:name w:val="heading 1"/>
    <w:basedOn w:val="Normal"/>
    <w:next w:val="Normal"/>
    <w:link w:val="Ttulo1Car"/>
    <w:uiPriority w:val="9"/>
    <w:qFormat/>
    <w:rsid w:val="005A15F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2C191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99"/>
    <w:qFormat/>
    <w:rsid w:val="0074227D"/>
    <w:pPr>
      <w:spacing w:after="0" w:line="480" w:lineRule="auto"/>
    </w:pPr>
    <w:rPr>
      <w:rFonts w:ascii="Arial" w:eastAsiaTheme="minorEastAsia" w:hAnsi="Arial" w:cs="Arial"/>
      <w:b/>
      <w:sz w:val="24"/>
      <w:szCs w:val="24"/>
      <w:lang w:val="en-GB"/>
    </w:rPr>
  </w:style>
  <w:style w:type="table" w:styleId="Tablaconcuadrcula">
    <w:name w:val="Table Grid"/>
    <w:basedOn w:val="Tablanormal"/>
    <w:uiPriority w:val="39"/>
    <w:rsid w:val="00742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4227D"/>
    <w:pPr>
      <w:ind w:left="720"/>
      <w:contextualSpacing/>
    </w:pPr>
  </w:style>
  <w:style w:type="paragraph" w:styleId="Encabezado">
    <w:name w:val="header"/>
    <w:basedOn w:val="Normal"/>
    <w:link w:val="EncabezadoCar"/>
    <w:uiPriority w:val="99"/>
    <w:unhideWhenUsed/>
    <w:rsid w:val="009435FB"/>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9435FB"/>
  </w:style>
  <w:style w:type="paragraph" w:styleId="Piedepgina">
    <w:name w:val="footer"/>
    <w:basedOn w:val="Normal"/>
    <w:link w:val="PiedepginaCar"/>
    <w:uiPriority w:val="99"/>
    <w:unhideWhenUsed/>
    <w:rsid w:val="009435FB"/>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9435FB"/>
  </w:style>
  <w:style w:type="character" w:customStyle="1" w:styleId="Ttulo1Car">
    <w:name w:val="Título 1 Car"/>
    <w:basedOn w:val="Fuentedeprrafopredeter"/>
    <w:link w:val="Ttulo1"/>
    <w:uiPriority w:val="9"/>
    <w:rsid w:val="005A15FA"/>
    <w:rPr>
      <w:rFonts w:asciiTheme="majorHAnsi" w:eastAsiaTheme="majorEastAsia" w:hAnsiTheme="majorHAnsi" w:cstheme="majorBidi"/>
      <w:color w:val="2E74B5" w:themeColor="accent1" w:themeShade="BF"/>
      <w:sz w:val="32"/>
      <w:szCs w:val="32"/>
    </w:rPr>
  </w:style>
  <w:style w:type="paragraph" w:styleId="TtulodeTDC">
    <w:name w:val="TOC Heading"/>
    <w:basedOn w:val="Ttulo1"/>
    <w:next w:val="Normal"/>
    <w:uiPriority w:val="39"/>
    <w:unhideWhenUsed/>
    <w:qFormat/>
    <w:rsid w:val="005A15FA"/>
    <w:pPr>
      <w:outlineLvl w:val="9"/>
    </w:pPr>
    <w:rPr>
      <w:lang w:eastAsia="de-DE"/>
    </w:rPr>
  </w:style>
  <w:style w:type="paragraph" w:styleId="TDC1">
    <w:name w:val="toc 1"/>
    <w:basedOn w:val="Normal"/>
    <w:next w:val="Normal"/>
    <w:autoRedefine/>
    <w:uiPriority w:val="39"/>
    <w:unhideWhenUsed/>
    <w:rsid w:val="005A15FA"/>
    <w:pPr>
      <w:spacing w:after="100"/>
    </w:pPr>
  </w:style>
  <w:style w:type="character" w:styleId="Hipervnculo">
    <w:name w:val="Hyperlink"/>
    <w:basedOn w:val="Fuentedeprrafopredeter"/>
    <w:uiPriority w:val="99"/>
    <w:unhideWhenUsed/>
    <w:rsid w:val="005A15FA"/>
    <w:rPr>
      <w:color w:val="0563C1" w:themeColor="hyperlink"/>
      <w:u w:val="single"/>
    </w:rPr>
  </w:style>
  <w:style w:type="character" w:customStyle="1" w:styleId="Ttulo2Car">
    <w:name w:val="Título 2 Car"/>
    <w:basedOn w:val="Fuentedeprrafopredeter"/>
    <w:link w:val="Ttulo2"/>
    <w:uiPriority w:val="9"/>
    <w:rsid w:val="002C191E"/>
    <w:rPr>
      <w:rFonts w:asciiTheme="majorHAnsi" w:eastAsiaTheme="majorEastAsia" w:hAnsiTheme="majorHAnsi" w:cstheme="majorBidi"/>
      <w:color w:val="2E74B5" w:themeColor="accent1" w:themeShade="BF"/>
      <w:sz w:val="26"/>
      <w:szCs w:val="26"/>
    </w:rPr>
  </w:style>
  <w:style w:type="paragraph" w:styleId="Textodeglobo">
    <w:name w:val="Balloon Text"/>
    <w:basedOn w:val="Normal"/>
    <w:link w:val="TextodegloboCar"/>
    <w:uiPriority w:val="99"/>
    <w:semiHidden/>
    <w:unhideWhenUsed/>
    <w:rsid w:val="00DD78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D7804"/>
    <w:rPr>
      <w:rFonts w:ascii="Tahoma" w:hAnsi="Tahoma" w:cs="Tahoma"/>
      <w:sz w:val="16"/>
      <w:szCs w:val="16"/>
    </w:rPr>
  </w:style>
  <w:style w:type="paragraph" w:styleId="NormalWeb">
    <w:name w:val="Normal (Web)"/>
    <w:basedOn w:val="Normal"/>
    <w:uiPriority w:val="99"/>
    <w:semiHidden/>
    <w:unhideWhenUsed/>
    <w:rsid w:val="008B5EF8"/>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customStyle="1" w:styleId="EndNoteBibliographyTitle">
    <w:name w:val="EndNote Bibliography Title"/>
    <w:basedOn w:val="Normal"/>
    <w:link w:val="EndNoteBibliographyTitleCar"/>
    <w:rsid w:val="00B575DF"/>
    <w:pPr>
      <w:spacing w:after="0"/>
      <w:jc w:val="center"/>
    </w:pPr>
    <w:rPr>
      <w:rFonts w:ascii="Calibri" w:hAnsi="Calibri" w:cs="Calibri"/>
      <w:noProof/>
      <w:lang w:val="en-US"/>
    </w:rPr>
  </w:style>
  <w:style w:type="character" w:customStyle="1" w:styleId="EndNoteBibliographyTitleCar">
    <w:name w:val="EndNote Bibliography Title Car"/>
    <w:basedOn w:val="Ttulo1Car"/>
    <w:link w:val="EndNoteBibliographyTitle"/>
    <w:rsid w:val="00B575DF"/>
    <w:rPr>
      <w:rFonts w:ascii="Calibri" w:eastAsiaTheme="majorEastAsia" w:hAnsi="Calibri" w:cs="Calibri"/>
      <w:noProof/>
      <w:color w:val="2E74B5" w:themeColor="accent1" w:themeShade="BF"/>
      <w:sz w:val="32"/>
      <w:szCs w:val="32"/>
      <w:lang w:val="en-US"/>
    </w:rPr>
  </w:style>
  <w:style w:type="paragraph" w:customStyle="1" w:styleId="EndNoteBibliography">
    <w:name w:val="EndNote Bibliography"/>
    <w:basedOn w:val="Normal"/>
    <w:link w:val="EndNoteBibliographyCar"/>
    <w:rsid w:val="00B575DF"/>
    <w:pPr>
      <w:spacing w:line="240" w:lineRule="auto"/>
    </w:pPr>
    <w:rPr>
      <w:rFonts w:ascii="Calibri" w:hAnsi="Calibri" w:cs="Calibri"/>
      <w:noProof/>
      <w:lang w:val="en-US"/>
    </w:rPr>
  </w:style>
  <w:style w:type="character" w:customStyle="1" w:styleId="EndNoteBibliographyCar">
    <w:name w:val="EndNote Bibliography Car"/>
    <w:basedOn w:val="Ttulo1Car"/>
    <w:link w:val="EndNoteBibliography"/>
    <w:rsid w:val="00B575DF"/>
    <w:rPr>
      <w:rFonts w:ascii="Calibri" w:eastAsiaTheme="majorEastAsia" w:hAnsi="Calibri" w:cs="Calibri"/>
      <w:noProof/>
      <w:color w:val="2E74B5" w:themeColor="accent1" w:themeShade="BF"/>
      <w:sz w:val="32"/>
      <w:szCs w:val="32"/>
      <w:lang w:val="en-US"/>
    </w:rPr>
  </w:style>
  <w:style w:type="character" w:styleId="Refdecomentario">
    <w:name w:val="annotation reference"/>
    <w:basedOn w:val="Fuentedeprrafopredeter"/>
    <w:uiPriority w:val="99"/>
    <w:semiHidden/>
    <w:unhideWhenUsed/>
    <w:rsid w:val="004A4B14"/>
    <w:rPr>
      <w:sz w:val="16"/>
      <w:szCs w:val="16"/>
    </w:rPr>
  </w:style>
  <w:style w:type="paragraph" w:styleId="Textocomentario">
    <w:name w:val="annotation text"/>
    <w:basedOn w:val="Normal"/>
    <w:link w:val="TextocomentarioCar"/>
    <w:uiPriority w:val="99"/>
    <w:semiHidden/>
    <w:unhideWhenUsed/>
    <w:rsid w:val="004A4B1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A4B14"/>
    <w:rPr>
      <w:sz w:val="20"/>
      <w:szCs w:val="20"/>
    </w:rPr>
  </w:style>
  <w:style w:type="paragraph" w:styleId="Asuntodelcomentario">
    <w:name w:val="annotation subject"/>
    <w:basedOn w:val="Textocomentario"/>
    <w:next w:val="Textocomentario"/>
    <w:link w:val="AsuntodelcomentarioCar"/>
    <w:uiPriority w:val="99"/>
    <w:semiHidden/>
    <w:unhideWhenUsed/>
    <w:rsid w:val="004A4B14"/>
    <w:rPr>
      <w:b/>
      <w:bCs/>
    </w:rPr>
  </w:style>
  <w:style w:type="character" w:customStyle="1" w:styleId="AsuntodelcomentarioCar">
    <w:name w:val="Asunto del comentario Car"/>
    <w:basedOn w:val="TextocomentarioCar"/>
    <w:link w:val="Asuntodelcomentario"/>
    <w:uiPriority w:val="99"/>
    <w:semiHidden/>
    <w:rsid w:val="004A4B14"/>
    <w:rPr>
      <w:b/>
      <w:bCs/>
      <w:sz w:val="20"/>
      <w:szCs w:val="20"/>
    </w:rPr>
  </w:style>
  <w:style w:type="character" w:customStyle="1" w:styleId="il">
    <w:name w:val="il"/>
    <w:rsid w:val="00A673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237"/>
  </w:style>
  <w:style w:type="paragraph" w:styleId="Ttulo1">
    <w:name w:val="heading 1"/>
    <w:basedOn w:val="Normal"/>
    <w:next w:val="Normal"/>
    <w:link w:val="Ttulo1Car"/>
    <w:uiPriority w:val="9"/>
    <w:qFormat/>
    <w:rsid w:val="005A15F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2C191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99"/>
    <w:qFormat/>
    <w:rsid w:val="0074227D"/>
    <w:pPr>
      <w:spacing w:after="0" w:line="480" w:lineRule="auto"/>
    </w:pPr>
    <w:rPr>
      <w:rFonts w:ascii="Arial" w:eastAsiaTheme="minorEastAsia" w:hAnsi="Arial" w:cs="Arial"/>
      <w:b/>
      <w:sz w:val="24"/>
      <w:szCs w:val="24"/>
      <w:lang w:val="en-GB"/>
    </w:rPr>
  </w:style>
  <w:style w:type="table" w:styleId="Tablaconcuadrcula">
    <w:name w:val="Table Grid"/>
    <w:basedOn w:val="Tablanormal"/>
    <w:uiPriority w:val="39"/>
    <w:rsid w:val="00742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4227D"/>
    <w:pPr>
      <w:ind w:left="720"/>
      <w:contextualSpacing/>
    </w:pPr>
  </w:style>
  <w:style w:type="paragraph" w:styleId="Encabezado">
    <w:name w:val="header"/>
    <w:basedOn w:val="Normal"/>
    <w:link w:val="EncabezadoCar"/>
    <w:uiPriority w:val="99"/>
    <w:unhideWhenUsed/>
    <w:rsid w:val="009435FB"/>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9435FB"/>
  </w:style>
  <w:style w:type="paragraph" w:styleId="Piedepgina">
    <w:name w:val="footer"/>
    <w:basedOn w:val="Normal"/>
    <w:link w:val="PiedepginaCar"/>
    <w:uiPriority w:val="99"/>
    <w:unhideWhenUsed/>
    <w:rsid w:val="009435FB"/>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9435FB"/>
  </w:style>
  <w:style w:type="character" w:customStyle="1" w:styleId="Ttulo1Car">
    <w:name w:val="Título 1 Car"/>
    <w:basedOn w:val="Fuentedeprrafopredeter"/>
    <w:link w:val="Ttulo1"/>
    <w:uiPriority w:val="9"/>
    <w:rsid w:val="005A15FA"/>
    <w:rPr>
      <w:rFonts w:asciiTheme="majorHAnsi" w:eastAsiaTheme="majorEastAsia" w:hAnsiTheme="majorHAnsi" w:cstheme="majorBidi"/>
      <w:color w:val="2E74B5" w:themeColor="accent1" w:themeShade="BF"/>
      <w:sz w:val="32"/>
      <w:szCs w:val="32"/>
    </w:rPr>
  </w:style>
  <w:style w:type="paragraph" w:styleId="TtulodeTDC">
    <w:name w:val="TOC Heading"/>
    <w:basedOn w:val="Ttulo1"/>
    <w:next w:val="Normal"/>
    <w:uiPriority w:val="39"/>
    <w:unhideWhenUsed/>
    <w:qFormat/>
    <w:rsid w:val="005A15FA"/>
    <w:pPr>
      <w:outlineLvl w:val="9"/>
    </w:pPr>
    <w:rPr>
      <w:lang w:eastAsia="de-DE"/>
    </w:rPr>
  </w:style>
  <w:style w:type="paragraph" w:styleId="TDC1">
    <w:name w:val="toc 1"/>
    <w:basedOn w:val="Normal"/>
    <w:next w:val="Normal"/>
    <w:autoRedefine/>
    <w:uiPriority w:val="39"/>
    <w:unhideWhenUsed/>
    <w:rsid w:val="005A15FA"/>
    <w:pPr>
      <w:spacing w:after="100"/>
    </w:pPr>
  </w:style>
  <w:style w:type="character" w:styleId="Hipervnculo">
    <w:name w:val="Hyperlink"/>
    <w:basedOn w:val="Fuentedeprrafopredeter"/>
    <w:uiPriority w:val="99"/>
    <w:unhideWhenUsed/>
    <w:rsid w:val="005A15FA"/>
    <w:rPr>
      <w:color w:val="0563C1" w:themeColor="hyperlink"/>
      <w:u w:val="single"/>
    </w:rPr>
  </w:style>
  <w:style w:type="character" w:customStyle="1" w:styleId="Ttulo2Car">
    <w:name w:val="Título 2 Car"/>
    <w:basedOn w:val="Fuentedeprrafopredeter"/>
    <w:link w:val="Ttulo2"/>
    <w:uiPriority w:val="9"/>
    <w:rsid w:val="002C191E"/>
    <w:rPr>
      <w:rFonts w:asciiTheme="majorHAnsi" w:eastAsiaTheme="majorEastAsia" w:hAnsiTheme="majorHAnsi" w:cstheme="majorBidi"/>
      <w:color w:val="2E74B5" w:themeColor="accent1" w:themeShade="BF"/>
      <w:sz w:val="26"/>
      <w:szCs w:val="26"/>
    </w:rPr>
  </w:style>
  <w:style w:type="paragraph" w:styleId="Textodeglobo">
    <w:name w:val="Balloon Text"/>
    <w:basedOn w:val="Normal"/>
    <w:link w:val="TextodegloboCar"/>
    <w:uiPriority w:val="99"/>
    <w:semiHidden/>
    <w:unhideWhenUsed/>
    <w:rsid w:val="00DD78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D7804"/>
    <w:rPr>
      <w:rFonts w:ascii="Tahoma" w:hAnsi="Tahoma" w:cs="Tahoma"/>
      <w:sz w:val="16"/>
      <w:szCs w:val="16"/>
    </w:rPr>
  </w:style>
  <w:style w:type="paragraph" w:styleId="NormalWeb">
    <w:name w:val="Normal (Web)"/>
    <w:basedOn w:val="Normal"/>
    <w:uiPriority w:val="99"/>
    <w:semiHidden/>
    <w:unhideWhenUsed/>
    <w:rsid w:val="008B5EF8"/>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customStyle="1" w:styleId="EndNoteBibliographyTitle">
    <w:name w:val="EndNote Bibliography Title"/>
    <w:basedOn w:val="Normal"/>
    <w:link w:val="EndNoteBibliographyTitleCar"/>
    <w:rsid w:val="00B575DF"/>
    <w:pPr>
      <w:spacing w:after="0"/>
      <w:jc w:val="center"/>
    </w:pPr>
    <w:rPr>
      <w:rFonts w:ascii="Calibri" w:hAnsi="Calibri" w:cs="Calibri"/>
      <w:noProof/>
      <w:lang w:val="en-US"/>
    </w:rPr>
  </w:style>
  <w:style w:type="character" w:customStyle="1" w:styleId="EndNoteBibliographyTitleCar">
    <w:name w:val="EndNote Bibliography Title Car"/>
    <w:basedOn w:val="Ttulo1Car"/>
    <w:link w:val="EndNoteBibliographyTitle"/>
    <w:rsid w:val="00B575DF"/>
    <w:rPr>
      <w:rFonts w:ascii="Calibri" w:eastAsiaTheme="majorEastAsia" w:hAnsi="Calibri" w:cs="Calibri"/>
      <w:noProof/>
      <w:color w:val="2E74B5" w:themeColor="accent1" w:themeShade="BF"/>
      <w:sz w:val="32"/>
      <w:szCs w:val="32"/>
      <w:lang w:val="en-US"/>
    </w:rPr>
  </w:style>
  <w:style w:type="paragraph" w:customStyle="1" w:styleId="EndNoteBibliography">
    <w:name w:val="EndNote Bibliography"/>
    <w:basedOn w:val="Normal"/>
    <w:link w:val="EndNoteBibliographyCar"/>
    <w:rsid w:val="00B575DF"/>
    <w:pPr>
      <w:spacing w:line="240" w:lineRule="auto"/>
    </w:pPr>
    <w:rPr>
      <w:rFonts w:ascii="Calibri" w:hAnsi="Calibri" w:cs="Calibri"/>
      <w:noProof/>
      <w:lang w:val="en-US"/>
    </w:rPr>
  </w:style>
  <w:style w:type="character" w:customStyle="1" w:styleId="EndNoteBibliographyCar">
    <w:name w:val="EndNote Bibliography Car"/>
    <w:basedOn w:val="Ttulo1Car"/>
    <w:link w:val="EndNoteBibliography"/>
    <w:rsid w:val="00B575DF"/>
    <w:rPr>
      <w:rFonts w:ascii="Calibri" w:eastAsiaTheme="majorEastAsia" w:hAnsi="Calibri" w:cs="Calibri"/>
      <w:noProof/>
      <w:color w:val="2E74B5" w:themeColor="accent1" w:themeShade="BF"/>
      <w:sz w:val="32"/>
      <w:szCs w:val="32"/>
      <w:lang w:val="en-US"/>
    </w:rPr>
  </w:style>
  <w:style w:type="character" w:styleId="Refdecomentario">
    <w:name w:val="annotation reference"/>
    <w:basedOn w:val="Fuentedeprrafopredeter"/>
    <w:uiPriority w:val="99"/>
    <w:semiHidden/>
    <w:unhideWhenUsed/>
    <w:rsid w:val="004A4B14"/>
    <w:rPr>
      <w:sz w:val="16"/>
      <w:szCs w:val="16"/>
    </w:rPr>
  </w:style>
  <w:style w:type="paragraph" w:styleId="Textocomentario">
    <w:name w:val="annotation text"/>
    <w:basedOn w:val="Normal"/>
    <w:link w:val="TextocomentarioCar"/>
    <w:uiPriority w:val="99"/>
    <w:semiHidden/>
    <w:unhideWhenUsed/>
    <w:rsid w:val="004A4B1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A4B14"/>
    <w:rPr>
      <w:sz w:val="20"/>
      <w:szCs w:val="20"/>
    </w:rPr>
  </w:style>
  <w:style w:type="paragraph" w:styleId="Asuntodelcomentario">
    <w:name w:val="annotation subject"/>
    <w:basedOn w:val="Textocomentario"/>
    <w:next w:val="Textocomentario"/>
    <w:link w:val="AsuntodelcomentarioCar"/>
    <w:uiPriority w:val="99"/>
    <w:semiHidden/>
    <w:unhideWhenUsed/>
    <w:rsid w:val="004A4B14"/>
    <w:rPr>
      <w:b/>
      <w:bCs/>
    </w:rPr>
  </w:style>
  <w:style w:type="character" w:customStyle="1" w:styleId="AsuntodelcomentarioCar">
    <w:name w:val="Asunto del comentario Car"/>
    <w:basedOn w:val="TextocomentarioCar"/>
    <w:link w:val="Asuntodelcomentario"/>
    <w:uiPriority w:val="99"/>
    <w:semiHidden/>
    <w:rsid w:val="004A4B14"/>
    <w:rPr>
      <w:b/>
      <w:bCs/>
      <w:sz w:val="20"/>
      <w:szCs w:val="20"/>
    </w:rPr>
  </w:style>
  <w:style w:type="character" w:customStyle="1" w:styleId="il">
    <w:name w:val="il"/>
    <w:rsid w:val="00A673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627363">
      <w:bodyDiv w:val="1"/>
      <w:marLeft w:val="0"/>
      <w:marRight w:val="0"/>
      <w:marTop w:val="0"/>
      <w:marBottom w:val="0"/>
      <w:divBdr>
        <w:top w:val="none" w:sz="0" w:space="0" w:color="auto"/>
        <w:left w:val="none" w:sz="0" w:space="0" w:color="auto"/>
        <w:bottom w:val="none" w:sz="0" w:space="0" w:color="auto"/>
        <w:right w:val="none" w:sz="0" w:space="0" w:color="auto"/>
      </w:divBdr>
    </w:div>
    <w:div w:id="1404835643">
      <w:bodyDiv w:val="1"/>
      <w:marLeft w:val="0"/>
      <w:marRight w:val="0"/>
      <w:marTop w:val="0"/>
      <w:marBottom w:val="0"/>
      <w:divBdr>
        <w:top w:val="none" w:sz="0" w:space="0" w:color="auto"/>
        <w:left w:val="none" w:sz="0" w:space="0" w:color="auto"/>
        <w:bottom w:val="none" w:sz="0" w:space="0" w:color="auto"/>
        <w:right w:val="none" w:sz="0" w:space="0" w:color="auto"/>
      </w:divBdr>
    </w:div>
    <w:div w:id="1779979685">
      <w:bodyDiv w:val="1"/>
      <w:marLeft w:val="0"/>
      <w:marRight w:val="0"/>
      <w:marTop w:val="0"/>
      <w:marBottom w:val="0"/>
      <w:divBdr>
        <w:top w:val="none" w:sz="0" w:space="0" w:color="auto"/>
        <w:left w:val="none" w:sz="0" w:space="0" w:color="auto"/>
        <w:bottom w:val="none" w:sz="0" w:space="0" w:color="auto"/>
        <w:right w:val="none" w:sz="0" w:space="0" w:color="auto"/>
      </w:divBdr>
    </w:div>
    <w:div w:id="1927572365">
      <w:bodyDiv w:val="1"/>
      <w:marLeft w:val="0"/>
      <w:marRight w:val="0"/>
      <w:marTop w:val="0"/>
      <w:marBottom w:val="0"/>
      <w:divBdr>
        <w:top w:val="none" w:sz="0" w:space="0" w:color="auto"/>
        <w:left w:val="none" w:sz="0" w:space="0" w:color="auto"/>
        <w:bottom w:val="none" w:sz="0" w:space="0" w:color="auto"/>
        <w:right w:val="none" w:sz="0" w:space="0" w:color="auto"/>
      </w:divBdr>
    </w:div>
    <w:div w:id="198496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B94B3-8089-418E-9106-366779298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2784</Words>
  <Characters>15313</Characters>
  <Application>Microsoft Office Word</Application>
  <DocSecurity>0</DocSecurity>
  <Lines>127</Lines>
  <Paragraphs>36</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
      <vt:lpstr/>
    </vt:vector>
  </TitlesOfParts>
  <Company>Universitätsklinikum Aachen AöR</Company>
  <LinksUpToDate>false</LinksUpToDate>
  <CharactersWithSpaces>18061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Woitok, Marius Maximilian</dc:creator>
  <cp:lastModifiedBy>usuario</cp:lastModifiedBy>
  <cp:revision>2</cp:revision>
  <cp:lastPrinted>2019-11-14T16:04:00Z</cp:lastPrinted>
  <dcterms:created xsi:type="dcterms:W3CDTF">2020-02-17T13:12:00Z</dcterms:created>
  <dcterms:modified xsi:type="dcterms:W3CDTF">2020-02-17T13:12:00Z</dcterms:modified>
</cp:coreProperties>
</file>