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3910" w:rsidRPr="00593910" w:rsidRDefault="00593910" w:rsidP="00593910">
      <w:pPr>
        <w:spacing w:line="48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93910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Su</w:t>
      </w:r>
      <w:r w:rsidR="00463F8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pplementary Figures L</w:t>
      </w:r>
      <w:r w:rsidRPr="0059391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egends</w:t>
      </w:r>
      <w:bookmarkStart w:id="0" w:name="_GoBack"/>
      <w:bookmarkEnd w:id="0"/>
    </w:p>
    <w:p w:rsidR="00593910" w:rsidRPr="00593910" w:rsidRDefault="00593910" w:rsidP="00593910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9391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Fig. S1 Effects of glucose and glyoxal on expression levels of autophagy-related proteins LC3-I and LC3-II in HAoEC.</w:t>
      </w:r>
      <w:r w:rsidRPr="005939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(A) The structure of a; glucose, b; methylglyoxal, c; glyoxal. (B), (C) Glucose and glyoxal-treated HAoEC were examined for the expressions of autophagy-associated proteins, LC3-I and LC3-II. Cells were treated with three concentrations (0.6, 0.8, and 1.0 mM) of glucose and glyoxal. The protein expression levels of LC3-I, LC3-II, and α-tubulin are shown after treatment for 1 h. (D), (E) The densitometry levels of LC3-I and LC3-II were evaluated by the Image Lab analysis tool. All data are shown as mean ± SEM. N = 3 (**p &lt; 0.01, ***p &lt; 0.001 vs. Control)</w:t>
      </w:r>
    </w:p>
    <w:p w:rsidR="00593910" w:rsidRPr="00593910" w:rsidRDefault="00593910" w:rsidP="00593910">
      <w:pPr>
        <w:spacing w:line="48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9391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Fig. S2 Effects of MGO-induced autophagic vacuoles in vascular endothelial cells. </w:t>
      </w:r>
      <w:r w:rsidRPr="005939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(A) HAoEC, HUVEC, and HDMEC were treated with a control or several concentrations (0.6, 0.8 mM) of MGO for 1 h and were measured for autophagic induction via staining with a </w:t>
      </w:r>
      <w:proofErr w:type="spellStart"/>
      <w:r w:rsidRPr="0059391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Cyto</w:t>
      </w:r>
      <w:proofErr w:type="spellEnd"/>
      <w:r w:rsidRPr="0059391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-ID® autophagy detection kit. Cells were treated with mixture chloroquine (10 μM) and rapamycin (0.5 μM) for 1 h to make a positive control and were evaluated as described in (A). (B) Quantitative measurements of </w:t>
      </w:r>
      <w:proofErr w:type="spellStart"/>
      <w:r w:rsidRPr="0059391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Cyto</w:t>
      </w:r>
      <w:proofErr w:type="spellEnd"/>
      <w:r w:rsidRPr="0059391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-ID green intensity fluorescence intensity were determined using NIS-Elements imaging software. Scale bar indicates 25 μm. </w:t>
      </w:r>
      <w:r w:rsidRPr="00593910">
        <w:rPr>
          <w:rFonts w:ascii="Times New Roman" w:hAnsi="Times New Roman" w:cs="Times New Roman"/>
          <w:color w:val="000000" w:themeColor="text1"/>
          <w:sz w:val="24"/>
          <w:szCs w:val="24"/>
        </w:rPr>
        <w:t>All data are shown as mean ± SEM. N = 3 (**p &lt; 0.01 vs. Control)</w:t>
      </w:r>
    </w:p>
    <w:p w:rsidR="00593910" w:rsidRPr="00593910" w:rsidRDefault="00593910" w:rsidP="00593910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9391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Fig. S3 Effects of MGO on the proliferation, migration, and tube formation in HUVEC and HDMEC.</w:t>
      </w:r>
      <w:r w:rsidRPr="005939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Cells were exposed to different concentrations (0.6, 0.8, and 1.0 mM) of MGO (A) BrdU assay revealed a lower proliferation of HUVEC and HDMEC when cultured with MGO in comparison with the control. (B) Cells were treated with MGO for 0 h and 24 h and exposed to scratch wound healing assay. Cell migration activity was evaluated by wound confluence and relative wound density in each group. (C) The representative photomicrographs </w:t>
      </w:r>
      <w:r w:rsidRPr="00593910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exhibiting the effects of MGO inhibition on the vein-like morphology of HUVEC and HDMEC at 24 h after seeding onto matrigel. Quantitative analysis of tube formation was conducted by counting the number of branches from three randomly selected fields per well. </w:t>
      </w:r>
      <w:r w:rsidRPr="0059391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Scale bar indicates 300 μm. </w:t>
      </w:r>
      <w:r w:rsidRPr="00593910">
        <w:rPr>
          <w:rFonts w:ascii="Times New Roman" w:hAnsi="Times New Roman" w:cs="Times New Roman"/>
          <w:color w:val="000000" w:themeColor="text1"/>
          <w:sz w:val="24"/>
          <w:szCs w:val="24"/>
        </w:rPr>
        <w:t>All data are shown as mean ± SEM. N = 3 (*p &lt; 0.05, **p &lt; 0.01, ***p &lt; 0.001 vs. Control)</w:t>
      </w:r>
    </w:p>
    <w:p w:rsidR="00593910" w:rsidRPr="00593910" w:rsidRDefault="00593910" w:rsidP="00593910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9391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Fig. S4 Effects of MGO-induced autophagy-related protein expression in HAoEC. </w:t>
      </w:r>
      <w:r w:rsidRPr="00593910">
        <w:rPr>
          <w:rFonts w:ascii="Times New Roman" w:hAnsi="Times New Roman" w:cs="Times New Roman"/>
          <w:color w:val="000000" w:themeColor="text1"/>
          <w:sz w:val="24"/>
          <w:szCs w:val="24"/>
        </w:rPr>
        <w:t>(A) MGO-treated HAoEC were evaluated for the expression levels of the LC3-I, LC3-II, p62, Beclin-1, and α-tubulin by western blots for 1 h. (B-D) The protein levels of LC3-I, LC3-II, p62, Beclin-1, and α-tubulin were determined by the Image Lab analysis tool. All data are shown as mean ± SEM. N = 3 (*p &lt; 0.05, **p &lt; 0.01, ***p &lt; 0.001 vs. Control)</w:t>
      </w:r>
    </w:p>
    <w:p w:rsidR="00593910" w:rsidRPr="00593910" w:rsidRDefault="00593910" w:rsidP="00593910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9391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Fig. S5 Effects of NAC, Quercetin, and AG on MGO-induced ROS generation in HAoEC. </w:t>
      </w:r>
      <w:r w:rsidRPr="005939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(A, B) HAoEC were pretreated with NAC, Quercetin, and AG for 1 h, followed via 1.0 mM MGO for 1 h. The levels of ROS generation in HAoEC were evaluated against the DCFH-DA detected by flow cytometry. </w:t>
      </w:r>
      <w:r w:rsidRPr="0059391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Relative ROS generation is represented in each histogram. (C) Quantitative measurements of fluorescent intensity were calculated using BD </w:t>
      </w:r>
      <w:proofErr w:type="spellStart"/>
      <w:r w:rsidRPr="0059391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CellQuest</w:t>
      </w:r>
      <w:r w:rsidRPr="00593910">
        <w:rPr>
          <w:rFonts w:ascii="Times New Roman" w:hAnsi="Times New Roman" w:cs="Times New Roman"/>
          <w:bCs/>
          <w:color w:val="000000" w:themeColor="text1"/>
          <w:sz w:val="24"/>
          <w:szCs w:val="24"/>
          <w:vertAlign w:val="superscript"/>
        </w:rPr>
        <w:t>TM</w:t>
      </w:r>
      <w:proofErr w:type="spellEnd"/>
      <w:r w:rsidRPr="0059391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pro software. </w:t>
      </w:r>
      <w:r w:rsidRPr="00593910">
        <w:rPr>
          <w:rFonts w:ascii="Times New Roman" w:hAnsi="Times New Roman" w:cs="Times New Roman"/>
          <w:color w:val="000000" w:themeColor="text1"/>
          <w:sz w:val="24"/>
          <w:szCs w:val="24"/>
        </w:rPr>
        <w:t>All data are shown as mean ± SEM. N = 3 (***p &lt; 0.001 vs. Control, ##p &lt; 0.01, ###p &lt; 0.001 vs. MGO 1.0 mM)</w:t>
      </w:r>
    </w:p>
    <w:p w:rsidR="00593910" w:rsidRPr="00593910" w:rsidRDefault="00593910" w:rsidP="00593910">
      <w:pPr>
        <w:spacing w:line="480" w:lineRule="auto"/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</w:pPr>
      <w:r w:rsidRPr="0059391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Fig. S6 Effects of U0126, SP 600125, SB 203580 on autophagy through MAPKs signaling pathways in HAoEC. </w:t>
      </w:r>
      <w:r w:rsidRPr="005939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(A, B) Representative western blots of LC3-I, II, total, and phosphorylated forms of MAPKs signaling pathway by MGO-induced HAoEC. Cells were pretreated with U0126 (p-ERK inhibitor), SP 600125 (p-JNK inhibitor), and SB 203580 (p-p38) for 1 h, followed by 1.0 mM MGO for 1 h. (C, D) </w:t>
      </w:r>
      <w:r w:rsidRPr="0059391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The protein levels of LC3-I, LC3-II, p-ERK, ERK, p-JNK, JNK, p-p38, and p-38 were determined by the Image Lab analysis tool. All </w:t>
      </w:r>
      <w:r w:rsidRPr="0059391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lastRenderedPageBreak/>
        <w:t>data are shown as means ± SEM. N = 3 (***p &lt; 0.001 vs. Control, ###p &lt; 0.001 vs. MGO 1.0 mM).</w:t>
      </w:r>
    </w:p>
    <w:sectPr w:rsidR="00593910" w:rsidRPr="00593910" w:rsidSect="00593910">
      <w:footerReference w:type="default" r:id="rId7"/>
      <w:pgSz w:w="11906" w:h="16838"/>
      <w:pgMar w:top="1701" w:right="1440" w:bottom="1440" w:left="1440" w:header="851" w:footer="992" w:gutter="0"/>
      <w:lnNumType w:countBy="1" w:restart="continuous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6EF2" w:rsidRDefault="005F6EF2" w:rsidP="00593910">
      <w:pPr>
        <w:spacing w:after="0" w:line="240" w:lineRule="auto"/>
      </w:pPr>
      <w:r>
        <w:separator/>
      </w:r>
    </w:p>
  </w:endnote>
  <w:endnote w:type="continuationSeparator" w:id="0">
    <w:p w:rsidR="005F6EF2" w:rsidRDefault="005F6EF2" w:rsidP="005939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43134846"/>
      <w:docPartObj>
        <w:docPartGallery w:val="Page Numbers (Bottom of Page)"/>
        <w:docPartUnique/>
      </w:docPartObj>
    </w:sdtPr>
    <w:sdtContent>
      <w:p w:rsidR="00593910" w:rsidRDefault="00593910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63F81" w:rsidRPr="00463F81">
          <w:rPr>
            <w:noProof/>
            <w:lang w:val="ko-KR"/>
          </w:rPr>
          <w:t>2</w:t>
        </w:r>
        <w:r>
          <w:fldChar w:fldCharType="end"/>
        </w:r>
      </w:p>
    </w:sdtContent>
  </w:sdt>
  <w:p w:rsidR="00593910" w:rsidRDefault="0059391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6EF2" w:rsidRDefault="005F6EF2" w:rsidP="00593910">
      <w:pPr>
        <w:spacing w:after="0" w:line="240" w:lineRule="auto"/>
      </w:pPr>
      <w:r>
        <w:separator/>
      </w:r>
    </w:p>
  </w:footnote>
  <w:footnote w:type="continuationSeparator" w:id="0">
    <w:p w:rsidR="005F6EF2" w:rsidRDefault="005F6EF2" w:rsidP="0059391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jC0MAXSpmYGZsZmxko6SsGpxcWZ+XkgBYa1AGSGGRcsAAAA"/>
  </w:docVars>
  <w:rsids>
    <w:rsidRoot w:val="00593910"/>
    <w:rsid w:val="00463F81"/>
    <w:rsid w:val="00513AAE"/>
    <w:rsid w:val="00593910"/>
    <w:rsid w:val="005F6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6797D5"/>
  <w15:chartTrackingRefBased/>
  <w15:docId w15:val="{55611D32-6B34-4D2F-9361-31C3CE26A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3910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uiPriority w:val="99"/>
    <w:semiHidden/>
    <w:unhideWhenUsed/>
    <w:rsid w:val="00593910"/>
  </w:style>
  <w:style w:type="paragraph" w:styleId="a4">
    <w:name w:val="header"/>
    <w:basedOn w:val="a"/>
    <w:link w:val="Char"/>
    <w:uiPriority w:val="99"/>
    <w:unhideWhenUsed/>
    <w:rsid w:val="00593910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593910"/>
  </w:style>
  <w:style w:type="paragraph" w:styleId="a5">
    <w:name w:val="footer"/>
    <w:basedOn w:val="a"/>
    <w:link w:val="Char0"/>
    <w:uiPriority w:val="99"/>
    <w:unhideWhenUsed/>
    <w:rsid w:val="0059391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5939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E8E5AC-46B6-4078-B155-AD8D5B9CED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576</Words>
  <Characters>3289</Characters>
  <Application>Microsoft Office Word</Application>
  <DocSecurity>0</DocSecurity>
  <Lines>27</Lines>
  <Paragraphs>7</Paragraphs>
  <ScaleCrop>false</ScaleCrop>
  <Company/>
  <LinksUpToDate>false</LinksUpToDate>
  <CharactersWithSpaces>3858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이재혁</dc:creator>
  <cp:keywords/>
  <dc:description/>
  <cp:lastModifiedBy>이재혁</cp:lastModifiedBy>
  <cp:revision>2</cp:revision>
  <dcterms:created xsi:type="dcterms:W3CDTF">2020-03-08T23:52:00Z</dcterms:created>
  <dcterms:modified xsi:type="dcterms:W3CDTF">2020-03-08T23:58:00Z</dcterms:modified>
</cp:coreProperties>
</file>