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26" w:rsidRPr="000D34FE" w:rsidRDefault="00F20A26" w:rsidP="00F20A26">
      <w:pPr>
        <w:spacing w:line="400" w:lineRule="exact"/>
        <w:rPr>
          <w:rFonts w:ascii="Times New Roman" w:hAnsi="Times New Roman"/>
          <w:color w:val="000000" w:themeColor="text1"/>
          <w:kern w:val="0"/>
          <w:szCs w:val="21"/>
        </w:rPr>
      </w:pPr>
      <w:r w:rsidRPr="000D34FE">
        <w:rPr>
          <w:rFonts w:ascii="Times New Roman" w:hAnsi="Times New Roman"/>
          <w:color w:val="000000" w:themeColor="text1"/>
          <w:kern w:val="0"/>
          <w:szCs w:val="21"/>
        </w:rPr>
        <w:t>Fig.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S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1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>T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here were no demyelination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in the CNS 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of </w:t>
      </w:r>
      <w:r w:rsidRPr="000D34FE">
        <w:rPr>
          <w:rFonts w:ascii="Times New Roman" w:hAnsi="Times New Roman"/>
          <w:b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  <w:vertAlign w:val="superscript"/>
        </w:rPr>
        <w:t>O</w:t>
      </w:r>
      <w:r w:rsidRPr="000D34FE">
        <w:rPr>
          <w:rFonts w:ascii="Times New Roman" w:hAnsi="Times New Roman"/>
          <w:b/>
          <w:i/>
          <w:color w:val="000000" w:themeColor="text1"/>
          <w:kern w:val="0"/>
          <w:szCs w:val="21"/>
          <w:vertAlign w:val="superscript"/>
        </w:rPr>
        <w:t>lig1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  <w:vertAlign w:val="superscript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mice.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Representative images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of the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CNS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from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</w:rPr>
        <w:t xml:space="preserve"> F/F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and 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O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  <w:vertAlign w:val="superscript"/>
        </w:rPr>
        <w:t>lig1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mice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depicting the myelinated area (LFB).</w:t>
      </w:r>
      <w:bookmarkStart w:id="0" w:name="_Hlk14962632"/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T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he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staining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degree of LFB in h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ippocampus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(0.34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0.014 vs 0.35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0.016), medulla (0.24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0.004 vs 0.25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0.001), cervical cord (0.32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0.005 vs 0.030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0.009), lumbar myeloid (0.25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0.003 vs 0.24</w:t>
      </w:r>
      <w:r w:rsidRPr="000D34FE">
        <w:rPr>
          <w:rFonts w:ascii="Times New Roman" w:hAnsi="Times New Roman" w:hint="eastAsia"/>
          <w:bCs/>
          <w:color w:val="000000" w:themeColor="text1"/>
          <w:kern w:val="0"/>
          <w:szCs w:val="21"/>
        </w:rPr>
        <w:t>±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0.001) in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the cortex of 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</w:rPr>
        <w:t>F/F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and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Olig1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mice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. n=3.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Scale bar, 20 μm.</w:t>
      </w:r>
      <w:bookmarkEnd w:id="0"/>
    </w:p>
    <w:p w:rsidR="00F20A26" w:rsidRPr="000D34FE" w:rsidRDefault="00F20A26" w:rsidP="00F20A26">
      <w:pPr>
        <w:spacing w:line="400" w:lineRule="exact"/>
        <w:rPr>
          <w:rFonts w:ascii="Times New Roman" w:hAnsi="Times New Roman"/>
          <w:color w:val="000000" w:themeColor="text1"/>
          <w:kern w:val="0"/>
          <w:szCs w:val="21"/>
        </w:rPr>
      </w:pPr>
    </w:p>
    <w:p w:rsidR="00F20A26" w:rsidRPr="000D34FE" w:rsidRDefault="00F20A26" w:rsidP="00F20A2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Cs w:val="21"/>
        </w:rPr>
      </w:pPr>
      <w:r w:rsidRPr="000D34FE">
        <w:rPr>
          <w:rFonts w:ascii="Times New Roman" w:hAnsi="Times New Roman"/>
          <w:color w:val="000000" w:themeColor="text1"/>
          <w:kern w:val="0"/>
          <w:szCs w:val="21"/>
        </w:rPr>
        <w:t>Fig.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S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2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Immunohistochemical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staining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 for astrocyte,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microglia and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neurons in the thalamus and hippocampus 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of 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  <w:vertAlign w:val="superscript"/>
        </w:rPr>
        <w:t>O</w:t>
      </w:r>
      <w:r w:rsidRPr="000D34FE">
        <w:rPr>
          <w:rFonts w:ascii="Times New Roman" w:hAnsi="Times New Roman"/>
          <w:b/>
          <w:i/>
          <w:color w:val="000000" w:themeColor="text1"/>
          <w:kern w:val="0"/>
          <w:szCs w:val="21"/>
          <w:vertAlign w:val="superscript"/>
        </w:rPr>
        <w:t>lig1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and 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</w:rPr>
        <w:t>F/F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mice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.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Scale bar, 20 μm.</w:t>
      </w:r>
    </w:p>
    <w:p w:rsidR="00F20A26" w:rsidRPr="000D34FE" w:rsidRDefault="00F20A26" w:rsidP="00F20A26">
      <w:pPr>
        <w:rPr>
          <w:color w:val="000000" w:themeColor="text1"/>
        </w:rPr>
      </w:pPr>
    </w:p>
    <w:p w:rsidR="00F20A26" w:rsidRPr="000D34FE" w:rsidRDefault="00F20A26" w:rsidP="00F20A26">
      <w:pPr>
        <w:spacing w:line="360" w:lineRule="auto"/>
        <w:rPr>
          <w:rFonts w:ascii="Times New Roman" w:hAnsi="Times New Roman"/>
          <w:color w:val="000000" w:themeColor="text1"/>
          <w:kern w:val="0"/>
          <w:szCs w:val="21"/>
        </w:rPr>
      </w:pPr>
      <w:r w:rsidRPr="000D34FE">
        <w:rPr>
          <w:rFonts w:ascii="Times New Roman" w:hAnsi="Times New Roman"/>
          <w:color w:val="000000" w:themeColor="text1"/>
          <w:kern w:val="0"/>
          <w:szCs w:val="21"/>
        </w:rPr>
        <w:t>Fig.S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3 </w:t>
      </w:r>
      <w:r w:rsidRPr="000D34FE">
        <w:rPr>
          <w:rFonts w:ascii="Times New Roman" w:hAnsi="Times New Roman"/>
          <w:b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  <w:vertAlign w:val="superscript"/>
        </w:rPr>
        <w:t>VGAT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and </w:t>
      </w:r>
      <w:r w:rsidRPr="000D34FE">
        <w:rPr>
          <w:rFonts w:ascii="Times New Roman" w:hAnsi="Times New Roman"/>
          <w:b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  <w:vertAlign w:val="superscript"/>
        </w:rPr>
        <w:t xml:space="preserve">Nestin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mice 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also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show growth retardation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phenotypes.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>A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 and 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>B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)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VGAT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and 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Nestin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mice exhibited growth retardatio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n, with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a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40-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30% lower body weight than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 w:hint="eastAsia"/>
          <w:i/>
          <w:iCs/>
          <w:color w:val="000000" w:themeColor="text1"/>
          <w:kern w:val="0"/>
          <w:szCs w:val="21"/>
        </w:rPr>
        <w:t>F/F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mice.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Data are mean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sym w:font="Symbol" w:char="F0B1"/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SEM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for </w:t>
      </w:r>
      <w:r w:rsidRPr="000D34FE">
        <w:rPr>
          <w:rFonts w:ascii="Times New Roman" w:eastAsiaTheme="minorEastAsia" w:hAnsi="Times New Roman" w:hint="eastAsia"/>
          <w:color w:val="000000" w:themeColor="text1"/>
          <w:kern w:val="0"/>
          <w:szCs w:val="21"/>
        </w:rPr>
        <w:t>n=26 and n=20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mice per genotype.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*P&lt;0.05; **P&lt;0.0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1,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nonparametric Mann-Whitney test.</w:t>
      </w:r>
    </w:p>
    <w:p w:rsidR="00F20A26" w:rsidRPr="000D34FE" w:rsidRDefault="00F20A26" w:rsidP="00F20A26">
      <w:pPr>
        <w:rPr>
          <w:color w:val="000000" w:themeColor="text1"/>
        </w:rPr>
      </w:pPr>
    </w:p>
    <w:p w:rsidR="00F20A26" w:rsidRPr="000D34FE" w:rsidRDefault="00F20A26" w:rsidP="00F20A2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 w:themeColor="text1"/>
          <w:kern w:val="0"/>
          <w:szCs w:val="21"/>
        </w:rPr>
      </w:pPr>
      <w:r w:rsidRPr="000D34FE">
        <w:rPr>
          <w:rFonts w:ascii="Times New Roman" w:hAnsi="Times New Roman"/>
          <w:color w:val="000000" w:themeColor="text1"/>
          <w:kern w:val="0"/>
          <w:szCs w:val="21"/>
        </w:rPr>
        <w:t>Fig.S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4 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Glu and GABA concentrations in the cortex of 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and control mice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.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(A)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GABA and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Glu levels in the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cortex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of the control and 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VGAT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mice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(B)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GABA and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Glu levels in the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cortex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of the control and 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Olig1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mice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Three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animals per group.</w:t>
      </w:r>
    </w:p>
    <w:p w:rsidR="00F20A26" w:rsidRPr="000D34FE" w:rsidRDefault="00F20A26" w:rsidP="00F20A26">
      <w:pPr>
        <w:rPr>
          <w:color w:val="000000" w:themeColor="text1"/>
        </w:rPr>
      </w:pPr>
    </w:p>
    <w:p w:rsidR="00F20A26" w:rsidRPr="000D34FE" w:rsidRDefault="00F20A26" w:rsidP="00F20A26">
      <w:pPr>
        <w:autoSpaceDE w:val="0"/>
        <w:autoSpaceDN w:val="0"/>
        <w:adjustRightInd w:val="0"/>
        <w:spacing w:line="360" w:lineRule="auto"/>
        <w:rPr>
          <w:rFonts w:ascii="Source Han Sans CN Medium" w:hAnsi="Source Han Sans CN Medium" w:hint="eastAsia"/>
          <w:bCs/>
          <w:color w:val="000000" w:themeColor="text1"/>
          <w:szCs w:val="21"/>
        </w:rPr>
      </w:pP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Fig.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S5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szCs w:val="21"/>
        </w:rPr>
        <w:t>Computational analysis of differentially</w:t>
      </w:r>
      <w:r w:rsidRPr="000D34FE">
        <w:rPr>
          <w:rFonts w:ascii="Times New Roman" w:hAnsi="Times New Roman" w:hint="eastAsia"/>
          <w:b/>
          <w:color w:val="000000" w:themeColor="text1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szCs w:val="21"/>
        </w:rPr>
        <w:t xml:space="preserve">regulated pathways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between 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b/>
          <w:i/>
          <w:color w:val="000000" w:themeColor="text1"/>
          <w:kern w:val="0"/>
          <w:szCs w:val="21"/>
          <w:vertAlign w:val="superscript"/>
        </w:rPr>
        <w:t>Olig1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 xml:space="preserve"> and control mice.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(A)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Venn chart of coexpressed genes between 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the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samples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of 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O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  <w:vertAlign w:val="superscript"/>
        </w:rPr>
        <w:t>lig1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and control mice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(B)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Scatter plots of all expressed genes in the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hippocampus of 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</w:rPr>
        <w:t>CKO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>O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  <w:vertAlign w:val="superscript"/>
        </w:rPr>
        <w:t>lig1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and control mice.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(C)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hyperlink r:id="rId6" w:anchor="9" w:history="1">
        <w:r w:rsidRPr="000D34FE">
          <w:rPr>
            <w:rFonts w:ascii="Times New Roman" w:hAnsi="Times New Roman"/>
            <w:color w:val="000000" w:themeColor="text1"/>
            <w:kern w:val="0"/>
            <w:szCs w:val="21"/>
          </w:rPr>
          <w:t xml:space="preserve">KEGG </w:t>
        </w:r>
        <w:r w:rsidRPr="000D34FE">
          <w:rPr>
            <w:rFonts w:ascii="Times New Roman" w:hAnsi="Times New Roman" w:hint="eastAsia"/>
            <w:color w:val="000000" w:themeColor="text1"/>
            <w:kern w:val="0"/>
            <w:szCs w:val="21"/>
          </w:rPr>
          <w:t>p</w:t>
        </w:r>
        <w:r w:rsidRPr="000D34FE">
          <w:rPr>
            <w:rFonts w:ascii="Times New Roman" w:hAnsi="Times New Roman"/>
            <w:color w:val="000000" w:themeColor="text1"/>
            <w:kern w:val="0"/>
            <w:szCs w:val="21"/>
          </w:rPr>
          <w:t>athway</w:t>
        </w:r>
      </w:hyperlink>
      <w:r w:rsidRPr="000D34FE">
        <w:rPr>
          <w:rFonts w:hint="eastAsia"/>
          <w:color w:val="000000" w:themeColor="text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mapping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showing changes in</w:t>
      </w:r>
      <w:r w:rsidRPr="000D34FE">
        <w:rPr>
          <w:rFonts w:ascii="Times New Roman" w:eastAsiaTheme="minorEastAsia" w:hAnsi="Times New Roman" w:hint="eastAsia"/>
          <w:color w:val="000000" w:themeColor="text1"/>
          <w:kern w:val="0"/>
          <w:szCs w:val="21"/>
        </w:rPr>
        <w:t xml:space="preserve"> DEGs </w:t>
      </w:r>
      <w:r w:rsidRPr="000D34FE">
        <w:rPr>
          <w:rFonts w:ascii="Times New Roman" w:eastAsiaTheme="minorEastAsia" w:hAnsi="Times New Roman"/>
          <w:color w:val="000000" w:themeColor="text1"/>
          <w:kern w:val="0"/>
          <w:szCs w:val="21"/>
        </w:rPr>
        <w:t>associated with</w:t>
      </w:r>
      <w:r w:rsidRPr="000D34FE">
        <w:rPr>
          <w:rFonts w:ascii="Times New Roman" w:eastAsiaTheme="minorEastAsia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eastAsiaTheme="minorEastAsia" w:hAnsi="Times New Roman"/>
          <w:color w:val="000000" w:themeColor="text1"/>
          <w:kern w:val="0"/>
          <w:szCs w:val="21"/>
        </w:rPr>
        <w:t xml:space="preserve">the </w:t>
      </w:r>
      <w:r w:rsidRPr="000D34FE">
        <w:rPr>
          <w:rFonts w:ascii="Times New Roman" w:eastAsiaTheme="minorEastAsia" w:hAnsi="Times New Roman" w:hint="eastAsia"/>
          <w:color w:val="000000" w:themeColor="text1"/>
          <w:kern w:val="0"/>
          <w:szCs w:val="21"/>
        </w:rPr>
        <w:t>AC/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>cAMP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pathway in 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</w:rPr>
        <w:t>C</w:t>
      </w:r>
      <w:r w:rsidRPr="000D34FE">
        <w:rPr>
          <w:rFonts w:ascii="Times New Roman" w:hAnsi="Times New Roman"/>
          <w:i/>
          <w:color w:val="000000" w:themeColor="text1"/>
          <w:kern w:val="0"/>
          <w:szCs w:val="21"/>
        </w:rPr>
        <w:t>KO</w:t>
      </w:r>
      <w:r w:rsidRPr="000D34FE">
        <w:rPr>
          <w:rFonts w:ascii="Times New Roman" w:hAnsi="Times New Roman" w:hint="eastAsia"/>
          <w:i/>
          <w:color w:val="000000" w:themeColor="text1"/>
          <w:kern w:val="0"/>
          <w:szCs w:val="21"/>
          <w:vertAlign w:val="superscript"/>
        </w:rPr>
        <w:t xml:space="preserve">Olig1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mice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versus </w:t>
      </w:r>
      <w:r w:rsidRPr="000D34FE">
        <w:rPr>
          <w:rFonts w:ascii="Source Han Sans CN Medium" w:hAnsi="Source Han Sans CN Medium"/>
          <w:bCs/>
          <w:color w:val="000000" w:themeColor="text1"/>
          <w:szCs w:val="21"/>
        </w:rPr>
        <w:t>control mice</w:t>
      </w:r>
      <w:r w:rsidRPr="000D34FE">
        <w:rPr>
          <w:rFonts w:ascii="Source Han Sans CN Medium" w:hAnsi="Source Han Sans CN Medium" w:hint="eastAsia"/>
          <w:bCs/>
          <w:color w:val="000000" w:themeColor="text1"/>
          <w:szCs w:val="21"/>
        </w:rPr>
        <w:t>.</w:t>
      </w:r>
    </w:p>
    <w:p w:rsidR="00F20A26" w:rsidRPr="000D34FE" w:rsidRDefault="00F20A26" w:rsidP="00F20A26">
      <w:pPr>
        <w:rPr>
          <w:color w:val="000000" w:themeColor="text1"/>
        </w:rPr>
      </w:pPr>
    </w:p>
    <w:p w:rsidR="00F20A26" w:rsidRPr="000D34FE" w:rsidRDefault="00F20A26" w:rsidP="00F20A26">
      <w:pPr>
        <w:autoSpaceDE w:val="0"/>
        <w:autoSpaceDN w:val="0"/>
        <w:adjustRightInd w:val="0"/>
        <w:spacing w:line="360" w:lineRule="auto"/>
        <w:rPr>
          <w:rFonts w:ascii="Source Han Sans CN Medium" w:hAnsi="Source Han Sans CN Medium" w:hint="eastAsia"/>
          <w:bCs/>
          <w:color w:val="000000" w:themeColor="text1"/>
          <w:szCs w:val="21"/>
        </w:rPr>
      </w:pPr>
      <w:r w:rsidRPr="000D34FE">
        <w:rPr>
          <w:rFonts w:ascii="Source Han Sans CN Medium" w:hAnsi="Source Han Sans CN Medium" w:hint="eastAsia"/>
          <w:bCs/>
          <w:color w:val="000000" w:themeColor="text1"/>
          <w:szCs w:val="21"/>
        </w:rPr>
        <w:t>F</w:t>
      </w:r>
      <w:r w:rsidRPr="000D34FE">
        <w:rPr>
          <w:rFonts w:ascii="Source Han Sans CN Medium" w:hAnsi="Source Han Sans CN Medium"/>
          <w:bCs/>
          <w:color w:val="000000" w:themeColor="text1"/>
          <w:szCs w:val="21"/>
        </w:rPr>
        <w:t xml:space="preserve">ig.S6 </w:t>
      </w:r>
      <w:r w:rsidRPr="000D34FE">
        <w:rPr>
          <w:rFonts w:ascii="Times New Roman" w:hAnsi="Times New Roman"/>
          <w:b/>
          <w:color w:val="000000" w:themeColor="text1"/>
          <w:szCs w:val="21"/>
        </w:rPr>
        <w:t xml:space="preserve">Changes of FGF9 expression were related to epilepsy. </w:t>
      </w:r>
      <w:r w:rsidRPr="000D34FE">
        <w:rPr>
          <w:rFonts w:ascii="Times New Roman" w:hAnsi="Times New Roman"/>
          <w:b/>
          <w:color w:val="000000" w:themeColor="text1"/>
          <w:kern w:val="0"/>
          <w:szCs w:val="21"/>
        </w:rPr>
        <w:t>(A)</w:t>
      </w:r>
      <w:r w:rsidRPr="000D34FE">
        <w:rPr>
          <w:rFonts w:ascii="Times New Roman" w:hAnsi="Times New Roman" w:hint="eastAsia"/>
          <w:b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Western blot analyses of FGF9 and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Adcy5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expression in pentylenetetrazole-induced mice compared to that in controls.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b/>
          <w:bCs/>
          <w:color w:val="000000" w:themeColor="text1"/>
          <w:kern w:val="0"/>
          <w:szCs w:val="21"/>
        </w:rPr>
        <w:t>(B and C)</w:t>
      </w:r>
      <w:r w:rsidRPr="000D34FE">
        <w:rPr>
          <w:rFonts w:ascii="Times New Roman" w:hAnsi="Times New Roman" w:hint="eastAsia"/>
          <w:b/>
          <w:bCs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FGF9 expression at the mRNA and protein levels is basically consistent with ELISA results.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Twenty-one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epileptic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 xml:space="preserve"> patients and controls were randomly selected for</w:t>
      </w:r>
      <w:r w:rsidRPr="000D34FE"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0D34FE">
        <w:rPr>
          <w:rFonts w:ascii="Times New Roman" w:hAnsi="Times New Roman"/>
          <w:color w:val="000000" w:themeColor="text1"/>
          <w:kern w:val="0"/>
          <w:szCs w:val="21"/>
        </w:rPr>
        <w:t>verification.</w:t>
      </w:r>
    </w:p>
    <w:p w:rsidR="007A5004" w:rsidRPr="00F20A26" w:rsidRDefault="007A5004"/>
    <w:sectPr w:rsidR="007A5004" w:rsidRPr="00F20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04" w:rsidRDefault="007A5004" w:rsidP="00F20A26">
      <w:r>
        <w:separator/>
      </w:r>
    </w:p>
  </w:endnote>
  <w:endnote w:type="continuationSeparator" w:id="1">
    <w:p w:rsidR="007A5004" w:rsidRDefault="007A5004" w:rsidP="00F20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04" w:rsidRDefault="007A5004" w:rsidP="00F20A26">
      <w:r>
        <w:separator/>
      </w:r>
    </w:p>
  </w:footnote>
  <w:footnote w:type="continuationSeparator" w:id="1">
    <w:p w:rsidR="007A5004" w:rsidRDefault="007A5004" w:rsidP="00F20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0A26"/>
    <w:rsid w:val="007A5004"/>
    <w:rsid w:val="00F2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2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0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0A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0A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0A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H:\GMR\RNA-Seq_report\src\page\Method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Company>HP Inc.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gmr</dc:creator>
  <cp:keywords/>
  <dc:description/>
  <cp:lastModifiedBy>gmr</cp:lastModifiedBy>
  <cp:revision>2</cp:revision>
  <dcterms:created xsi:type="dcterms:W3CDTF">2021-01-27T04:41:00Z</dcterms:created>
  <dcterms:modified xsi:type="dcterms:W3CDTF">2021-01-27T04:41:00Z</dcterms:modified>
</cp:coreProperties>
</file>