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65B" w:rsidRPr="00CE6720" w:rsidRDefault="00DF2DA7" w:rsidP="00C54F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CE6720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642A7E" w:rsidRPr="00CE6720">
        <w:rPr>
          <w:rFonts w:ascii="Times New Roman" w:hAnsi="Times New Roman" w:cs="Times New Roman" w:hint="eastAsia"/>
          <w:b/>
          <w:sz w:val="28"/>
          <w:szCs w:val="28"/>
        </w:rPr>
        <w:t>F</w:t>
      </w:r>
      <w:r w:rsidR="00C54F28" w:rsidRPr="00CE6720">
        <w:rPr>
          <w:rFonts w:ascii="Times New Roman" w:hAnsi="Times New Roman" w:cs="Times New Roman" w:hint="eastAsia"/>
          <w:b/>
          <w:sz w:val="28"/>
          <w:szCs w:val="28"/>
        </w:rPr>
        <w:t>igure</w:t>
      </w:r>
      <w:r w:rsidR="00C54F28" w:rsidRPr="00CE6720">
        <w:rPr>
          <w:rFonts w:ascii="Times New Roman" w:hAnsi="Times New Roman" w:cs="Times New Roman"/>
          <w:b/>
          <w:sz w:val="28"/>
          <w:szCs w:val="28"/>
        </w:rPr>
        <w:t xml:space="preserve"> legends</w:t>
      </w:r>
    </w:p>
    <w:p w:rsidR="0000765B" w:rsidRPr="00CE6720" w:rsidRDefault="00DF2DA7" w:rsidP="00C54F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6720">
        <w:rPr>
          <w:rFonts w:ascii="Times New Roman" w:hAnsi="Times New Roman" w:cs="Times New Roman"/>
          <w:b/>
          <w:sz w:val="24"/>
          <w:szCs w:val="24"/>
        </w:rPr>
        <w:t>Supplementary Figure S1. Expression of RNF126 and RNF126 promoter methylation in BCa of TCGA samples.</w:t>
      </w:r>
      <w:r w:rsidRPr="00CE6720">
        <w:rPr>
          <w:rFonts w:ascii="Times New Roman" w:hAnsi="Times New Roman" w:cs="Times New Roman"/>
          <w:sz w:val="24"/>
          <w:szCs w:val="24"/>
        </w:rPr>
        <w:t xml:space="preserve"> </w:t>
      </w:r>
      <w:r w:rsidRPr="00CE6720">
        <w:rPr>
          <w:rFonts w:ascii="Times New Roman" w:hAnsi="Times New Roman" w:cs="Times New Roman"/>
          <w:b/>
          <w:sz w:val="24"/>
          <w:szCs w:val="24"/>
        </w:rPr>
        <w:t>(A-B)</w:t>
      </w:r>
      <w:r w:rsidRPr="00CE6720">
        <w:rPr>
          <w:rFonts w:ascii="Times New Roman" w:hAnsi="Times New Roman" w:cs="Times New Roman"/>
          <w:sz w:val="24"/>
          <w:szCs w:val="24"/>
        </w:rPr>
        <w:t xml:space="preserve"> Expression of RNF126 in BLCA based on the patient’s gender and age. </w:t>
      </w:r>
      <w:r w:rsidRPr="00CE6720">
        <w:rPr>
          <w:rFonts w:ascii="Times New Roman" w:hAnsi="Times New Roman" w:cs="Times New Roman"/>
          <w:b/>
          <w:sz w:val="24"/>
          <w:szCs w:val="24"/>
        </w:rPr>
        <w:t>(C)</w:t>
      </w:r>
      <w:r w:rsidRPr="00CE6720">
        <w:rPr>
          <w:rFonts w:ascii="Times New Roman" w:hAnsi="Times New Roman" w:cs="Times New Roman"/>
          <w:sz w:val="24"/>
          <w:szCs w:val="24"/>
        </w:rPr>
        <w:t xml:space="preserve"> Expression of RNF126 in BLCA based on TP53 mutation status. </w:t>
      </w:r>
      <w:r w:rsidRPr="00CE6720">
        <w:rPr>
          <w:rFonts w:ascii="Times New Roman" w:hAnsi="Times New Roman" w:cs="Times New Roman"/>
          <w:b/>
          <w:sz w:val="24"/>
          <w:szCs w:val="24"/>
        </w:rPr>
        <w:t>(D-E)</w:t>
      </w:r>
      <w:r w:rsidRPr="00CE6720">
        <w:rPr>
          <w:rFonts w:ascii="Times New Roman" w:hAnsi="Times New Roman" w:cs="Times New Roman"/>
          <w:sz w:val="24"/>
          <w:szCs w:val="24"/>
        </w:rPr>
        <w:t xml:space="preserve"> Expression of RNF126 in BLCA based on nodal metastasis status and individual cancer stage. </w:t>
      </w:r>
      <w:r w:rsidRPr="00CE6720">
        <w:rPr>
          <w:rFonts w:ascii="Times New Roman" w:hAnsi="Times New Roman" w:cs="Times New Roman"/>
          <w:b/>
          <w:sz w:val="24"/>
          <w:szCs w:val="24"/>
        </w:rPr>
        <w:t>(F-L)</w:t>
      </w:r>
      <w:r w:rsidRPr="00CE6720">
        <w:rPr>
          <w:rFonts w:ascii="Times New Roman" w:hAnsi="Times New Roman" w:cs="Times New Roman"/>
          <w:sz w:val="24"/>
          <w:szCs w:val="24"/>
        </w:rPr>
        <w:t xml:space="preserve"> RNF126 promoter methylation profile based on different influencing factors indicated in each graph.</w:t>
      </w:r>
    </w:p>
    <w:p w:rsidR="00C54F28" w:rsidRPr="00CE6720" w:rsidRDefault="00C54F28" w:rsidP="00C54F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765B" w:rsidRPr="00CE6720" w:rsidRDefault="00DF2DA7" w:rsidP="00C54F2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6720">
        <w:rPr>
          <w:rFonts w:ascii="Times New Roman" w:hAnsi="Times New Roman" w:cs="Times New Roman"/>
          <w:b/>
          <w:sz w:val="24"/>
          <w:szCs w:val="24"/>
        </w:rPr>
        <w:t>Supplementary Figure S2. Overexpr</w:t>
      </w:r>
      <w:bookmarkStart w:id="0" w:name="_GoBack"/>
      <w:bookmarkEnd w:id="0"/>
      <w:r w:rsidRPr="00CE6720">
        <w:rPr>
          <w:rFonts w:ascii="Times New Roman" w:hAnsi="Times New Roman" w:cs="Times New Roman"/>
          <w:b/>
          <w:sz w:val="24"/>
          <w:szCs w:val="24"/>
        </w:rPr>
        <w:t>ession of RNF126 promotes BCa cell proliferation and migration. (A)</w:t>
      </w:r>
      <w:r w:rsidRPr="00CE6720">
        <w:rPr>
          <w:rFonts w:ascii="Times New Roman" w:hAnsi="Times New Roman" w:cs="Times New Roman"/>
          <w:sz w:val="24"/>
          <w:szCs w:val="24"/>
        </w:rPr>
        <w:t xml:space="preserve"> Western blotting of </w:t>
      </w:r>
      <w:r w:rsidR="005449B9" w:rsidRPr="00CE6720">
        <w:rPr>
          <w:rFonts w:ascii="Times New Roman" w:hAnsi="Times New Roman" w:cs="Times New Roman"/>
          <w:sz w:val="24"/>
          <w:szCs w:val="24"/>
        </w:rPr>
        <w:t>FLAG</w:t>
      </w:r>
      <w:r w:rsidRPr="00CE6720">
        <w:rPr>
          <w:rFonts w:ascii="Times New Roman" w:hAnsi="Times New Roman" w:cs="Times New Roman"/>
          <w:sz w:val="24"/>
          <w:szCs w:val="24"/>
        </w:rPr>
        <w:t>-RNF126 showed the overexpression of RNF126.</w:t>
      </w:r>
      <w:r w:rsidRPr="00CE6720">
        <w:rPr>
          <w:rFonts w:ascii="Times New Roman" w:hAnsi="Times New Roman" w:cs="Times New Roman"/>
          <w:b/>
          <w:sz w:val="24"/>
          <w:szCs w:val="24"/>
        </w:rPr>
        <w:t xml:space="preserve"> (B-C)</w:t>
      </w:r>
      <w:r w:rsidRPr="00CE6720">
        <w:rPr>
          <w:rFonts w:ascii="Times New Roman" w:hAnsi="Times New Roman" w:cs="Times New Roman"/>
          <w:sz w:val="24"/>
          <w:szCs w:val="24"/>
        </w:rPr>
        <w:t xml:space="preserve"> MTT assay of overexpression of RNF126 in T24 and UMUC3 BCa cells. </w:t>
      </w:r>
      <w:r w:rsidRPr="00CE6720">
        <w:rPr>
          <w:rFonts w:ascii="Times New Roman" w:hAnsi="Times New Roman" w:cs="Times New Roman"/>
          <w:b/>
          <w:sz w:val="24"/>
          <w:szCs w:val="24"/>
        </w:rPr>
        <w:t>(D)</w:t>
      </w:r>
      <w:r w:rsidRPr="00CE6720">
        <w:rPr>
          <w:rFonts w:ascii="Times New Roman" w:hAnsi="Times New Roman" w:cs="Times New Roman"/>
          <w:sz w:val="24"/>
          <w:szCs w:val="24"/>
        </w:rPr>
        <w:t xml:space="preserve"> The flow cytometry analysis showed the percentage (%) of cells in different phases of </w:t>
      </w:r>
      <w:r w:rsidR="00FD08A3" w:rsidRPr="00CE6720">
        <w:rPr>
          <w:rFonts w:ascii="Times New Roman" w:hAnsi="Times New Roman" w:cs="Times New Roman"/>
          <w:sz w:val="24"/>
          <w:szCs w:val="24"/>
        </w:rPr>
        <w:t xml:space="preserve">the </w:t>
      </w:r>
      <w:r w:rsidRPr="00CE6720">
        <w:rPr>
          <w:rFonts w:ascii="Times New Roman" w:hAnsi="Times New Roman" w:cs="Times New Roman"/>
          <w:sz w:val="24"/>
          <w:szCs w:val="24"/>
        </w:rPr>
        <w:t xml:space="preserve">cell cycle. Vector and FLAG-RNF126 were transfected into T24 cells for two days. </w:t>
      </w:r>
      <w:r w:rsidRPr="00CE6720">
        <w:rPr>
          <w:rFonts w:ascii="Times New Roman" w:hAnsi="Times New Roman" w:cs="Times New Roman"/>
          <w:b/>
          <w:sz w:val="24"/>
          <w:szCs w:val="24"/>
        </w:rPr>
        <w:t>(E)</w:t>
      </w:r>
      <w:r w:rsidRPr="00CE6720">
        <w:rPr>
          <w:rFonts w:ascii="Times New Roman" w:hAnsi="Times New Roman" w:cs="Times New Roman"/>
          <w:sz w:val="24"/>
          <w:szCs w:val="24"/>
        </w:rPr>
        <w:t xml:space="preserve"> The transwell assay evaluated cell migration of the Vector and </w:t>
      </w:r>
      <w:r w:rsidR="005449B9" w:rsidRPr="00CE6720">
        <w:rPr>
          <w:rFonts w:ascii="Times New Roman" w:hAnsi="Times New Roman" w:cs="Times New Roman"/>
          <w:sz w:val="24"/>
          <w:szCs w:val="24"/>
        </w:rPr>
        <w:t>FLAG</w:t>
      </w:r>
      <w:r w:rsidRPr="00CE6720">
        <w:rPr>
          <w:rFonts w:ascii="Times New Roman" w:hAnsi="Times New Roman" w:cs="Times New Roman"/>
          <w:sz w:val="24"/>
          <w:szCs w:val="24"/>
        </w:rPr>
        <w:t xml:space="preserve">-RNF126 treated BCa cells. Scale bar = 100 µm. </w:t>
      </w:r>
      <w:r w:rsidRPr="00CE6720">
        <w:rPr>
          <w:rFonts w:ascii="Times New Roman" w:hAnsi="Times New Roman" w:cs="Times New Roman"/>
          <w:b/>
          <w:sz w:val="24"/>
          <w:szCs w:val="24"/>
        </w:rPr>
        <w:t>(F)</w:t>
      </w:r>
      <w:r w:rsidRPr="00CE6720">
        <w:rPr>
          <w:rFonts w:ascii="Times New Roman" w:hAnsi="Times New Roman" w:cs="Times New Roman"/>
          <w:sz w:val="24"/>
          <w:szCs w:val="24"/>
        </w:rPr>
        <w:t xml:space="preserve"> The relative number of cell migration were statistically analyzed. ***p &lt; 0.001, **p &lt; 0.01, *p &lt; 0.05.</w:t>
      </w:r>
    </w:p>
    <w:p w:rsidR="009566B7" w:rsidRPr="00CE6720" w:rsidRDefault="009566B7" w:rsidP="00C54F2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765B" w:rsidRPr="00CE6720" w:rsidRDefault="00DF2DA7" w:rsidP="00C54F2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6720">
        <w:rPr>
          <w:rFonts w:ascii="Times New Roman" w:hAnsi="Times New Roman" w:cs="Times New Roman"/>
          <w:b/>
          <w:sz w:val="24"/>
          <w:szCs w:val="24"/>
        </w:rPr>
        <w:t xml:space="preserve">Supplementary Figure S3. RNF126 potentiates the </w:t>
      </w:r>
      <w:proofErr w:type="spellStart"/>
      <w:r w:rsidRPr="00CE6720">
        <w:rPr>
          <w:rFonts w:ascii="Times New Roman" w:hAnsi="Times New Roman" w:cs="Times New Roman"/>
          <w:b/>
          <w:sz w:val="24"/>
          <w:szCs w:val="24"/>
        </w:rPr>
        <w:t>chemoresistance</w:t>
      </w:r>
      <w:proofErr w:type="spellEnd"/>
      <w:r w:rsidRPr="00CE6720">
        <w:rPr>
          <w:rFonts w:ascii="Times New Roman" w:hAnsi="Times New Roman" w:cs="Times New Roman"/>
          <w:b/>
          <w:sz w:val="24"/>
          <w:szCs w:val="24"/>
        </w:rPr>
        <w:t xml:space="preserve"> in BCa.</w:t>
      </w:r>
      <w:r w:rsidRPr="00CE6720">
        <w:rPr>
          <w:rFonts w:ascii="Times New Roman" w:hAnsi="Times New Roman" w:cs="Times New Roman"/>
          <w:sz w:val="24"/>
          <w:szCs w:val="24"/>
        </w:rPr>
        <w:t xml:space="preserve"> </w:t>
      </w:r>
      <w:r w:rsidR="00C365C6" w:rsidRPr="00CE6720">
        <w:rPr>
          <w:rFonts w:ascii="Times New Roman" w:hAnsi="Times New Roman" w:cs="Times New Roman"/>
          <w:b/>
          <w:sz w:val="24"/>
          <w:szCs w:val="24"/>
        </w:rPr>
        <w:t>(</w:t>
      </w:r>
      <w:r w:rsidR="00C365C6" w:rsidRPr="00CE6720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C365C6" w:rsidRPr="00CE6720">
        <w:rPr>
          <w:rFonts w:ascii="Times New Roman" w:hAnsi="Times New Roman" w:cs="Times New Roman"/>
          <w:b/>
          <w:sz w:val="24"/>
          <w:szCs w:val="24"/>
        </w:rPr>
        <w:t>)</w:t>
      </w:r>
      <w:r w:rsidR="00C365C6" w:rsidRPr="00CE6720">
        <w:rPr>
          <w:rFonts w:ascii="Times New Roman" w:hAnsi="Times New Roman" w:cs="Times New Roman"/>
          <w:sz w:val="24"/>
          <w:szCs w:val="24"/>
        </w:rPr>
        <w:t xml:space="preserve"> Apoptosis of UMUC3 cells was demonstrated by flow cytometry with 1 </w:t>
      </w:r>
      <w:proofErr w:type="spellStart"/>
      <w:r w:rsidR="00C365C6" w:rsidRPr="00CE672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365C6" w:rsidRPr="00CE6720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="00C365C6" w:rsidRPr="00CE672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365C6" w:rsidRPr="00CE6720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="00C365C6" w:rsidRPr="00CE672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365C6" w:rsidRPr="00CE6720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="00C365C6" w:rsidRPr="00CE672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365C6" w:rsidRPr="00CE6720">
        <w:rPr>
          <w:rFonts w:ascii="Times New Roman" w:hAnsi="Times New Roman" w:cs="Times New Roman"/>
          <w:sz w:val="24"/>
          <w:szCs w:val="24"/>
        </w:rPr>
        <w:t xml:space="preserve"> of cisplatin treatment or DMF for 24 h.</w:t>
      </w:r>
      <w:r w:rsidR="00C365C6" w:rsidRPr="00CE6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720">
        <w:rPr>
          <w:rFonts w:ascii="Times New Roman" w:hAnsi="Times New Roman" w:cs="Times New Roman"/>
          <w:b/>
          <w:sz w:val="24"/>
          <w:szCs w:val="24"/>
        </w:rPr>
        <w:t>(</w:t>
      </w:r>
      <w:r w:rsidR="00C365C6" w:rsidRPr="00CE6720">
        <w:rPr>
          <w:rFonts w:ascii="Times New Roman" w:hAnsi="Times New Roman" w:cs="Times New Roman"/>
          <w:b/>
          <w:sz w:val="24"/>
          <w:szCs w:val="24"/>
        </w:rPr>
        <w:t>B</w:t>
      </w:r>
      <w:r w:rsidRPr="00CE6720">
        <w:rPr>
          <w:rFonts w:ascii="Times New Roman" w:hAnsi="Times New Roman" w:cs="Times New Roman"/>
          <w:b/>
          <w:sz w:val="24"/>
          <w:szCs w:val="24"/>
        </w:rPr>
        <w:t>-</w:t>
      </w:r>
      <w:r w:rsidR="00C365C6" w:rsidRPr="00CE6720">
        <w:rPr>
          <w:rFonts w:ascii="Times New Roman" w:hAnsi="Times New Roman" w:cs="Times New Roman"/>
          <w:b/>
          <w:sz w:val="24"/>
          <w:szCs w:val="24"/>
        </w:rPr>
        <w:t>C</w:t>
      </w:r>
      <w:r w:rsidRPr="00CE6720">
        <w:rPr>
          <w:rFonts w:ascii="Times New Roman" w:hAnsi="Times New Roman" w:cs="Times New Roman"/>
          <w:b/>
          <w:sz w:val="24"/>
          <w:szCs w:val="24"/>
        </w:rPr>
        <w:t>)</w:t>
      </w:r>
      <w:r w:rsidRPr="00CE6720">
        <w:rPr>
          <w:rFonts w:ascii="Times New Roman" w:hAnsi="Times New Roman" w:cs="Times New Roman"/>
          <w:sz w:val="24"/>
          <w:szCs w:val="24"/>
        </w:rPr>
        <w:t xml:space="preserve"> Apoptosis of negative control and siRNF126-transfected BCa cells was demonstrated by flow cytometry with 5 </w:t>
      </w:r>
      <w:proofErr w:type="spellStart"/>
      <w:r w:rsidRPr="00CE672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CE6720">
        <w:rPr>
          <w:rFonts w:ascii="Times New Roman" w:hAnsi="Times New Roman" w:cs="Times New Roman"/>
          <w:sz w:val="24"/>
          <w:szCs w:val="24"/>
        </w:rPr>
        <w:t xml:space="preserve"> of cisplatin (#S1166, </w:t>
      </w:r>
      <w:proofErr w:type="spellStart"/>
      <w:r w:rsidRPr="00CE6720">
        <w:rPr>
          <w:rFonts w:ascii="Times New Roman" w:hAnsi="Times New Roman" w:cs="Times New Roman"/>
          <w:sz w:val="24"/>
          <w:szCs w:val="24"/>
        </w:rPr>
        <w:t>Selleck</w:t>
      </w:r>
      <w:proofErr w:type="spellEnd"/>
      <w:r w:rsidRPr="00CE6720">
        <w:rPr>
          <w:rFonts w:ascii="Times New Roman" w:hAnsi="Times New Roman" w:cs="Times New Roman"/>
          <w:sz w:val="24"/>
          <w:szCs w:val="24"/>
        </w:rPr>
        <w:t>) treatment or N, N-</w:t>
      </w:r>
      <w:proofErr w:type="spellStart"/>
      <w:r w:rsidRPr="00CE6720">
        <w:rPr>
          <w:rFonts w:ascii="Times New Roman" w:hAnsi="Times New Roman" w:cs="Times New Roman"/>
          <w:sz w:val="24"/>
          <w:szCs w:val="24"/>
        </w:rPr>
        <w:t>Dimethylformamide</w:t>
      </w:r>
      <w:proofErr w:type="spellEnd"/>
      <w:r w:rsidRPr="00CE6720">
        <w:rPr>
          <w:rFonts w:ascii="Times New Roman" w:hAnsi="Times New Roman" w:cs="Times New Roman"/>
          <w:sz w:val="24"/>
          <w:szCs w:val="24"/>
        </w:rPr>
        <w:t xml:space="preserve"> (DMF, #S6192, </w:t>
      </w:r>
      <w:proofErr w:type="spellStart"/>
      <w:r w:rsidRPr="00CE6720">
        <w:rPr>
          <w:rFonts w:ascii="Times New Roman" w:hAnsi="Times New Roman" w:cs="Times New Roman"/>
          <w:sz w:val="24"/>
          <w:szCs w:val="24"/>
        </w:rPr>
        <w:t>Selleck</w:t>
      </w:r>
      <w:proofErr w:type="spellEnd"/>
      <w:r w:rsidRPr="00CE6720">
        <w:rPr>
          <w:rFonts w:ascii="Times New Roman" w:hAnsi="Times New Roman" w:cs="Times New Roman"/>
          <w:sz w:val="24"/>
          <w:szCs w:val="24"/>
        </w:rPr>
        <w:t xml:space="preserve">) for 24 h. </w:t>
      </w:r>
      <w:r w:rsidRPr="00CE6720">
        <w:rPr>
          <w:rFonts w:ascii="Times New Roman" w:hAnsi="Times New Roman" w:cs="Times New Roman"/>
          <w:b/>
          <w:sz w:val="24"/>
          <w:szCs w:val="24"/>
        </w:rPr>
        <w:t>(</w:t>
      </w:r>
      <w:r w:rsidR="00C365C6" w:rsidRPr="00CE6720">
        <w:rPr>
          <w:rFonts w:ascii="Times New Roman" w:hAnsi="Times New Roman" w:cs="Times New Roman"/>
          <w:b/>
          <w:sz w:val="24"/>
          <w:szCs w:val="24"/>
        </w:rPr>
        <w:t>D</w:t>
      </w:r>
      <w:r w:rsidRPr="00CE6720">
        <w:rPr>
          <w:rFonts w:ascii="Times New Roman" w:hAnsi="Times New Roman" w:cs="Times New Roman"/>
          <w:b/>
          <w:sz w:val="24"/>
          <w:szCs w:val="24"/>
        </w:rPr>
        <w:t>-</w:t>
      </w:r>
      <w:r w:rsidR="00C365C6" w:rsidRPr="00CE6720">
        <w:rPr>
          <w:rFonts w:ascii="Times New Roman" w:hAnsi="Times New Roman" w:cs="Times New Roman"/>
          <w:b/>
          <w:sz w:val="24"/>
          <w:szCs w:val="24"/>
        </w:rPr>
        <w:t>E</w:t>
      </w:r>
      <w:r w:rsidRPr="00CE672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CE6720">
        <w:rPr>
          <w:rFonts w:ascii="Times New Roman" w:hAnsi="Times New Roman" w:cs="Times New Roman"/>
          <w:sz w:val="24"/>
          <w:szCs w:val="24"/>
        </w:rPr>
        <w:t xml:space="preserve">The apoptotic rates (%) of T24 and UMUC3 cells were </w:t>
      </w:r>
      <w:r w:rsidRPr="00CE6720">
        <w:rPr>
          <w:rFonts w:ascii="Times New Roman" w:hAnsi="Times New Roman" w:cs="Times New Roman"/>
          <w:sz w:val="24"/>
          <w:szCs w:val="24"/>
        </w:rPr>
        <w:lastRenderedPageBreak/>
        <w:t>statistically analyzed. The cisplatin treatment and siRNA were indicated. ***p &lt; 0.001, **p &lt; 0.01, *p &lt; 0.05.</w:t>
      </w:r>
    </w:p>
    <w:p w:rsidR="0000765B" w:rsidRPr="00CE6720" w:rsidRDefault="0000765B" w:rsidP="00C54F2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765B" w:rsidRDefault="00DF2DA7" w:rsidP="00C54F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CE6720">
        <w:rPr>
          <w:rFonts w:ascii="Times New Roman" w:hAnsi="Times New Roman" w:cs="Times New Roman"/>
          <w:b/>
          <w:sz w:val="24"/>
          <w:szCs w:val="24"/>
        </w:rPr>
        <w:t>Supplementary Figure S</w:t>
      </w:r>
      <w:r w:rsidRPr="00CE6720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CE6720">
        <w:rPr>
          <w:rFonts w:ascii="Times New Roman" w:hAnsi="Times New Roman" w:cs="Times New Roman"/>
          <w:b/>
          <w:sz w:val="24"/>
        </w:rPr>
        <w:t>. RNF126 deficiency affects the cell cycle</w:t>
      </w:r>
      <w:r w:rsidRPr="00CE6720">
        <w:rPr>
          <w:rFonts w:ascii="Times New Roman" w:hAnsi="Times New Roman" w:cs="Times New Roman" w:hint="eastAsia"/>
          <w:b/>
          <w:sz w:val="24"/>
        </w:rPr>
        <w:t xml:space="preserve"> and</w:t>
      </w:r>
      <w:r w:rsidRPr="00CE6720">
        <w:rPr>
          <w:rFonts w:ascii="Times New Roman" w:hAnsi="Times New Roman" w:cs="Times New Roman"/>
          <w:b/>
          <w:sz w:val="24"/>
        </w:rPr>
        <w:t xml:space="preserve"> inhibit</w:t>
      </w:r>
      <w:r w:rsidRPr="00CE6720">
        <w:rPr>
          <w:rFonts w:ascii="Times New Roman" w:hAnsi="Times New Roman" w:cs="Times New Roman" w:hint="eastAsia"/>
          <w:b/>
          <w:sz w:val="24"/>
        </w:rPr>
        <w:t>s</w:t>
      </w:r>
      <w:r w:rsidRPr="00CE6720">
        <w:rPr>
          <w:rFonts w:ascii="Times New Roman" w:hAnsi="Times New Roman" w:cs="Times New Roman"/>
          <w:b/>
          <w:sz w:val="24"/>
        </w:rPr>
        <w:t xml:space="preserve"> BCa cell proliferation</w:t>
      </w:r>
      <w:r w:rsidRPr="00CE6720">
        <w:rPr>
          <w:rFonts w:ascii="Times New Roman" w:hAnsi="Times New Roman" w:cs="Times New Roman" w:hint="eastAsia"/>
          <w:b/>
          <w:sz w:val="24"/>
        </w:rPr>
        <w:t xml:space="preserve"> and</w:t>
      </w:r>
      <w:r w:rsidRPr="00CE6720">
        <w:rPr>
          <w:rFonts w:ascii="Times New Roman" w:hAnsi="Times New Roman" w:cs="Times New Roman"/>
          <w:b/>
          <w:sz w:val="24"/>
        </w:rPr>
        <w:t xml:space="preserve"> migration.</w:t>
      </w:r>
      <w:r w:rsidRPr="00CE6720">
        <w:rPr>
          <w:rFonts w:ascii="Times New Roman" w:hAnsi="Times New Roman" w:cs="Times New Roman" w:hint="eastAsia"/>
          <w:b/>
          <w:sz w:val="24"/>
        </w:rPr>
        <w:t xml:space="preserve"> </w:t>
      </w:r>
      <w:r w:rsidRPr="00CE6720">
        <w:rPr>
          <w:rFonts w:ascii="Times New Roman" w:hAnsi="Times New Roman" w:cs="Times New Roman"/>
          <w:b/>
          <w:sz w:val="24"/>
        </w:rPr>
        <w:t>(A)</w:t>
      </w:r>
      <w:r w:rsidRPr="00CE6720">
        <w:rPr>
          <w:rFonts w:ascii="Times New Roman" w:hAnsi="Times New Roman" w:cs="Times New Roman"/>
          <w:sz w:val="24"/>
        </w:rPr>
        <w:t xml:space="preserve"> The MTT assay evaluated the growth and viability of the T24 cell from day 1 until day 5. </w:t>
      </w:r>
      <w:r w:rsidRPr="00CE6720">
        <w:rPr>
          <w:rFonts w:ascii="Times New Roman" w:hAnsi="Times New Roman" w:cs="Times New Roman" w:hint="eastAsia"/>
          <w:sz w:val="24"/>
        </w:rPr>
        <w:t>Two</w:t>
      </w:r>
      <w:r w:rsidRPr="00CE67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6720">
        <w:rPr>
          <w:rFonts w:ascii="Times New Roman" w:hAnsi="Times New Roman" w:cs="Times New Roman"/>
          <w:sz w:val="24"/>
        </w:rPr>
        <w:t>lentiviral</w:t>
      </w:r>
      <w:proofErr w:type="spellEnd"/>
      <w:r w:rsidRPr="00CE6720">
        <w:rPr>
          <w:rFonts w:ascii="Times New Roman" w:hAnsi="Times New Roman" w:cs="Times New Roman"/>
          <w:sz w:val="24"/>
        </w:rPr>
        <w:t xml:space="preserve"> </w:t>
      </w:r>
      <w:r w:rsidRPr="00CE6720">
        <w:rPr>
          <w:rFonts w:ascii="Times New Roman" w:hAnsi="Times New Roman" w:cs="Times New Roman"/>
          <w:i/>
          <w:sz w:val="24"/>
        </w:rPr>
        <w:t>shRNF126</w:t>
      </w:r>
      <w:r w:rsidRPr="00CE6720">
        <w:rPr>
          <w:rFonts w:ascii="Times New Roman" w:hAnsi="Times New Roman" w:cs="Times New Roman" w:hint="eastAsia"/>
          <w:iCs/>
          <w:sz w:val="24"/>
        </w:rPr>
        <w:t>-1</w:t>
      </w:r>
      <w:r w:rsidRPr="00CE6720">
        <w:rPr>
          <w:rFonts w:ascii="Times New Roman" w:hAnsi="Times New Roman" w:cs="Times New Roman" w:hint="eastAsia"/>
          <w:i/>
          <w:sz w:val="24"/>
        </w:rPr>
        <w:t xml:space="preserve">, </w:t>
      </w:r>
      <w:r w:rsidRPr="00CE6720">
        <w:rPr>
          <w:rFonts w:ascii="Times New Roman" w:hAnsi="Times New Roman" w:cs="Times New Roman"/>
          <w:i/>
          <w:sz w:val="24"/>
        </w:rPr>
        <w:t>shRNF126</w:t>
      </w:r>
      <w:r w:rsidRPr="00CE6720">
        <w:rPr>
          <w:rFonts w:ascii="Times New Roman" w:hAnsi="Times New Roman" w:cs="Times New Roman" w:hint="eastAsia"/>
          <w:iCs/>
          <w:sz w:val="24"/>
        </w:rPr>
        <w:t>-2</w:t>
      </w:r>
      <w:r w:rsidRPr="00CE6720">
        <w:rPr>
          <w:rFonts w:ascii="Times New Roman" w:hAnsi="Times New Roman" w:cs="Times New Roman"/>
          <w:sz w:val="24"/>
        </w:rPr>
        <w:t xml:space="preserve"> and a </w:t>
      </w:r>
      <w:proofErr w:type="spellStart"/>
      <w:r w:rsidRPr="00CE6720">
        <w:rPr>
          <w:rFonts w:ascii="Times New Roman" w:hAnsi="Times New Roman" w:cs="Times New Roman"/>
          <w:sz w:val="24"/>
        </w:rPr>
        <w:t>lentiviral</w:t>
      </w:r>
      <w:proofErr w:type="spellEnd"/>
      <w:r w:rsidRPr="00CE6720">
        <w:rPr>
          <w:rFonts w:ascii="Times New Roman" w:hAnsi="Times New Roman" w:cs="Times New Roman"/>
          <w:sz w:val="24"/>
        </w:rPr>
        <w:t xml:space="preserve"> control group</w:t>
      </w:r>
      <w:r w:rsidRPr="00CE672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E6720">
        <w:rPr>
          <w:rFonts w:ascii="Times New Roman" w:hAnsi="Times New Roman" w:cs="Times New Roman"/>
          <w:i/>
          <w:sz w:val="24"/>
        </w:rPr>
        <w:t>shNC</w:t>
      </w:r>
      <w:proofErr w:type="spellEnd"/>
      <w:r w:rsidRPr="00CE6720">
        <w:rPr>
          <w:rFonts w:ascii="Times New Roman" w:hAnsi="Times New Roman" w:cs="Times New Roman"/>
          <w:sz w:val="24"/>
        </w:rPr>
        <w:t xml:space="preserve"> stably transfected </w:t>
      </w:r>
      <w:r w:rsidRPr="00CE6720">
        <w:rPr>
          <w:rFonts w:ascii="Times New Roman" w:hAnsi="Times New Roman" w:cs="Times New Roman" w:hint="eastAsia"/>
          <w:sz w:val="24"/>
        </w:rPr>
        <w:t xml:space="preserve">BCa </w:t>
      </w:r>
      <w:r w:rsidRPr="00CE6720">
        <w:rPr>
          <w:rFonts w:ascii="Times New Roman" w:hAnsi="Times New Roman" w:cs="Times New Roman"/>
          <w:sz w:val="24"/>
        </w:rPr>
        <w:t>T24 cell</w:t>
      </w:r>
      <w:r w:rsidRPr="00CE6720">
        <w:rPr>
          <w:rFonts w:ascii="Times New Roman" w:hAnsi="Times New Roman" w:cs="Times New Roman" w:hint="eastAsia"/>
          <w:sz w:val="24"/>
        </w:rPr>
        <w:t>s</w:t>
      </w:r>
      <w:r w:rsidRPr="00CE6720">
        <w:rPr>
          <w:rFonts w:ascii="Times New Roman" w:hAnsi="Times New Roman" w:cs="Times New Roman"/>
          <w:sz w:val="24"/>
        </w:rPr>
        <w:t xml:space="preserve"> were established. </w:t>
      </w:r>
      <w:r w:rsidRPr="00CE6720">
        <w:rPr>
          <w:rFonts w:ascii="Times New Roman" w:hAnsi="Times New Roman" w:cs="Times New Roman"/>
          <w:b/>
          <w:sz w:val="24"/>
        </w:rPr>
        <w:t>(</w:t>
      </w:r>
      <w:r w:rsidRPr="00CE6720">
        <w:rPr>
          <w:rFonts w:ascii="Times New Roman" w:hAnsi="Times New Roman" w:cs="Times New Roman" w:hint="eastAsia"/>
          <w:b/>
          <w:sz w:val="24"/>
        </w:rPr>
        <w:t>B</w:t>
      </w:r>
      <w:r w:rsidRPr="00CE6720">
        <w:rPr>
          <w:rFonts w:ascii="Times New Roman" w:hAnsi="Times New Roman" w:cs="Times New Roman"/>
          <w:b/>
          <w:sz w:val="24"/>
        </w:rPr>
        <w:t>)</w:t>
      </w:r>
      <w:r w:rsidRPr="00CE6720">
        <w:rPr>
          <w:rFonts w:ascii="Times New Roman" w:hAnsi="Times New Roman" w:cs="Times New Roman"/>
          <w:sz w:val="24"/>
        </w:rPr>
        <w:t xml:space="preserve"> The western blotting indicated the protein level of RNF126,</w:t>
      </w:r>
      <w:r w:rsidRPr="00CE6720">
        <w:rPr>
          <w:rFonts w:ascii="Times New Roman" w:hAnsi="Times New Roman" w:cs="Times New Roman" w:hint="eastAsia"/>
          <w:sz w:val="24"/>
        </w:rPr>
        <w:t xml:space="preserve"> </w:t>
      </w:r>
      <w:r w:rsidRPr="00CE6720">
        <w:rPr>
          <w:rFonts w:ascii="Times New Roman" w:hAnsi="Times New Roman" w:cs="Times New Roman"/>
          <w:sz w:val="24"/>
        </w:rPr>
        <w:t>N-Cad</w:t>
      </w:r>
      <w:r w:rsidRPr="00CE6720">
        <w:rPr>
          <w:rFonts w:ascii="Times New Roman" w:hAnsi="Times New Roman" w:cs="Times New Roman" w:hint="eastAsia"/>
          <w:sz w:val="24"/>
        </w:rPr>
        <w:t>, CDK2</w:t>
      </w:r>
      <w:r w:rsidRPr="00CE6720">
        <w:rPr>
          <w:rFonts w:ascii="Times New Roman" w:hAnsi="Times New Roman" w:cs="Times New Roman"/>
          <w:sz w:val="24"/>
        </w:rPr>
        <w:t xml:space="preserve">, </w:t>
      </w:r>
      <w:r w:rsidRPr="00CE6720">
        <w:rPr>
          <w:rFonts w:ascii="Times New Roman" w:hAnsi="Times New Roman" w:cs="Times New Roman" w:hint="eastAsia"/>
          <w:sz w:val="24"/>
        </w:rPr>
        <w:t xml:space="preserve">CDK4, </w:t>
      </w:r>
      <w:r w:rsidRPr="00CE6720">
        <w:rPr>
          <w:rFonts w:ascii="Times New Roman" w:hAnsi="Times New Roman" w:cs="Times New Roman"/>
          <w:sz w:val="24"/>
        </w:rPr>
        <w:t>CCND1,</w:t>
      </w:r>
      <w:r w:rsidRPr="00CE6720">
        <w:rPr>
          <w:rFonts w:ascii="Times New Roman" w:hAnsi="Times New Roman" w:cs="Times New Roman" w:hint="eastAsia"/>
          <w:sz w:val="24"/>
        </w:rPr>
        <w:t xml:space="preserve"> EGFR,</w:t>
      </w:r>
      <w:r w:rsidRPr="00CE6720">
        <w:rPr>
          <w:rFonts w:ascii="Times New Roman" w:hAnsi="Times New Roman" w:cs="Times New Roman"/>
          <w:sz w:val="24"/>
        </w:rPr>
        <w:t xml:space="preserve"> PI3K, p-AKT, AKT</w:t>
      </w:r>
      <w:r w:rsidRPr="00CE6720">
        <w:rPr>
          <w:rFonts w:ascii="Times New Roman" w:hAnsi="Times New Roman" w:cs="Times New Roman" w:hint="eastAsia"/>
          <w:sz w:val="24"/>
        </w:rPr>
        <w:t xml:space="preserve"> </w:t>
      </w:r>
      <w:r w:rsidRPr="00CE6720">
        <w:rPr>
          <w:rFonts w:ascii="Times New Roman" w:hAnsi="Times New Roman" w:cs="Times New Roman"/>
          <w:sz w:val="24"/>
        </w:rPr>
        <w:t xml:space="preserve">and PTEN. </w:t>
      </w:r>
      <w:r w:rsidR="00A360D7" w:rsidRPr="00CE6720">
        <w:rPr>
          <w:rFonts w:ascii="Times New Roman" w:hAnsi="Times New Roman" w:cs="Times New Roman" w:hint="eastAsia"/>
          <w:sz w:val="24"/>
        </w:rPr>
        <w:t>The</w:t>
      </w:r>
      <w:r w:rsidR="00A360D7" w:rsidRPr="00CE6720">
        <w:rPr>
          <w:rFonts w:ascii="Times New Roman" w:hAnsi="Times New Roman" w:cs="Times New Roman"/>
          <w:sz w:val="24"/>
        </w:rPr>
        <w:t xml:space="preserve"> l</w:t>
      </w:r>
      <w:r w:rsidRPr="00CE6720">
        <w:rPr>
          <w:rFonts w:ascii="Times New Roman" w:hAnsi="Times New Roman" w:cs="Times New Roman"/>
          <w:sz w:val="24"/>
        </w:rPr>
        <w:t>oading control was GAPDH.</w:t>
      </w:r>
      <w:r w:rsidRPr="00CE6720">
        <w:rPr>
          <w:rFonts w:ascii="Times New Roman" w:hAnsi="Times New Roman" w:cs="Times New Roman" w:hint="eastAsia"/>
          <w:sz w:val="24"/>
        </w:rPr>
        <w:t xml:space="preserve"> </w:t>
      </w:r>
      <w:r w:rsidRPr="00CE6720">
        <w:rPr>
          <w:rFonts w:ascii="Times New Roman" w:hAnsi="Times New Roman" w:cs="Times New Roman" w:hint="eastAsia"/>
          <w:b/>
          <w:bCs/>
          <w:sz w:val="24"/>
        </w:rPr>
        <w:t>(C-D)</w:t>
      </w:r>
      <w:r w:rsidRPr="00CE6720">
        <w:rPr>
          <w:rFonts w:ascii="Times New Roman" w:hAnsi="Times New Roman" w:cs="Times New Roman" w:hint="eastAsia"/>
          <w:sz w:val="24"/>
        </w:rPr>
        <w:t xml:space="preserve"> </w:t>
      </w:r>
      <w:r w:rsidRPr="00CE6720">
        <w:rPr>
          <w:rFonts w:ascii="Times New Roman" w:hAnsi="Times New Roman" w:cs="Times New Roman"/>
          <w:sz w:val="24"/>
        </w:rPr>
        <w:t xml:space="preserve">The flow cytometry analysis demonstrated the distribution of cells in different phases of </w:t>
      </w:r>
      <w:r w:rsidR="0088491F" w:rsidRPr="00CE6720">
        <w:rPr>
          <w:rFonts w:ascii="Times New Roman" w:hAnsi="Times New Roman" w:cs="Times New Roman"/>
          <w:sz w:val="24"/>
        </w:rPr>
        <w:t xml:space="preserve">the </w:t>
      </w:r>
      <w:r w:rsidRPr="00CE6720">
        <w:rPr>
          <w:rFonts w:ascii="Times New Roman" w:hAnsi="Times New Roman" w:cs="Times New Roman"/>
          <w:sz w:val="24"/>
        </w:rPr>
        <w:t>cell cycle.</w:t>
      </w:r>
      <w:r w:rsidRPr="00CE6720">
        <w:rPr>
          <w:rFonts w:ascii="Times New Roman" w:hAnsi="Times New Roman" w:cs="Times New Roman"/>
          <w:b/>
          <w:sz w:val="24"/>
        </w:rPr>
        <w:t xml:space="preserve"> (</w:t>
      </w:r>
      <w:r w:rsidRPr="00CE6720">
        <w:rPr>
          <w:rFonts w:ascii="Times New Roman" w:hAnsi="Times New Roman" w:cs="Times New Roman" w:hint="eastAsia"/>
          <w:b/>
          <w:sz w:val="24"/>
        </w:rPr>
        <w:t>E</w:t>
      </w:r>
      <w:r w:rsidRPr="00CE6720">
        <w:rPr>
          <w:rFonts w:ascii="Times New Roman" w:hAnsi="Times New Roman" w:cs="Times New Roman"/>
          <w:b/>
          <w:sz w:val="24"/>
        </w:rPr>
        <w:t>)</w:t>
      </w:r>
      <w:r w:rsidRPr="00CE6720">
        <w:rPr>
          <w:rFonts w:ascii="Times New Roman" w:hAnsi="Times New Roman" w:cs="Times New Roman"/>
          <w:sz w:val="24"/>
        </w:rPr>
        <w:t xml:space="preserve"> The colony formation assay showed the effect of RNF126 knockdown on the cell survival T24 cells. Scale bar = 1 cm</w:t>
      </w:r>
      <w:r w:rsidRPr="00CE6720">
        <w:rPr>
          <w:rFonts w:ascii="Times New Roman" w:hAnsi="Times New Roman" w:cs="Times New Roman"/>
          <w:b/>
          <w:sz w:val="24"/>
        </w:rPr>
        <w:t xml:space="preserve"> (</w:t>
      </w:r>
      <w:r w:rsidRPr="00CE6720">
        <w:rPr>
          <w:rFonts w:ascii="Times New Roman" w:hAnsi="Times New Roman" w:cs="Times New Roman" w:hint="eastAsia"/>
          <w:b/>
          <w:sz w:val="24"/>
        </w:rPr>
        <w:t>F</w:t>
      </w:r>
      <w:r w:rsidRPr="00CE6720">
        <w:rPr>
          <w:rFonts w:ascii="Times New Roman" w:hAnsi="Times New Roman" w:cs="Times New Roman"/>
          <w:b/>
          <w:sz w:val="24"/>
        </w:rPr>
        <w:t xml:space="preserve">) </w:t>
      </w:r>
      <w:r w:rsidRPr="00CE6720">
        <w:rPr>
          <w:rFonts w:ascii="Times New Roman" w:hAnsi="Times New Roman" w:cs="Times New Roman"/>
          <w:sz w:val="24"/>
        </w:rPr>
        <w:t xml:space="preserve">Colony numbers were counted and plotted as indicated. </w:t>
      </w:r>
      <w:r w:rsidRPr="00CE6720">
        <w:rPr>
          <w:rFonts w:ascii="Times New Roman" w:hAnsi="Times New Roman" w:cs="Times New Roman"/>
          <w:b/>
          <w:sz w:val="24"/>
        </w:rPr>
        <w:t>(</w:t>
      </w:r>
      <w:r w:rsidRPr="00CE6720">
        <w:rPr>
          <w:rFonts w:ascii="Times New Roman" w:hAnsi="Times New Roman" w:cs="Times New Roman" w:hint="eastAsia"/>
          <w:b/>
          <w:sz w:val="24"/>
        </w:rPr>
        <w:t>G</w:t>
      </w:r>
      <w:r w:rsidRPr="00CE6720">
        <w:rPr>
          <w:rFonts w:ascii="Times New Roman" w:hAnsi="Times New Roman" w:cs="Times New Roman"/>
          <w:b/>
          <w:sz w:val="24"/>
        </w:rPr>
        <w:t>)</w:t>
      </w:r>
      <w:r w:rsidRPr="00CE6720">
        <w:rPr>
          <w:rFonts w:ascii="Times New Roman" w:hAnsi="Times New Roman" w:cs="Times New Roman"/>
          <w:sz w:val="24"/>
        </w:rPr>
        <w:t xml:space="preserve"> The transwell assay evaluated cell migration of the RNF126 knockdown treated T24 cells. Scale bar = 100 µm. </w:t>
      </w:r>
      <w:r w:rsidRPr="00CE6720">
        <w:rPr>
          <w:rFonts w:ascii="Times New Roman" w:hAnsi="Times New Roman" w:cs="Times New Roman"/>
          <w:b/>
          <w:sz w:val="24"/>
        </w:rPr>
        <w:t>(</w:t>
      </w:r>
      <w:r w:rsidRPr="00CE6720">
        <w:rPr>
          <w:rFonts w:ascii="Times New Roman" w:hAnsi="Times New Roman" w:cs="Times New Roman" w:hint="eastAsia"/>
          <w:b/>
          <w:sz w:val="24"/>
        </w:rPr>
        <w:t>H</w:t>
      </w:r>
      <w:r w:rsidRPr="00CE6720">
        <w:rPr>
          <w:rFonts w:ascii="Times New Roman" w:hAnsi="Times New Roman" w:cs="Times New Roman"/>
          <w:b/>
          <w:sz w:val="24"/>
        </w:rPr>
        <w:t xml:space="preserve">) </w:t>
      </w:r>
      <w:r w:rsidRPr="00CE6720">
        <w:rPr>
          <w:rFonts w:ascii="Times New Roman" w:hAnsi="Times New Roman" w:cs="Times New Roman"/>
          <w:sz w:val="24"/>
        </w:rPr>
        <w:t>The relative number of cell migration was statistically analyzed. ***p &lt; 0.001, **p &lt; 0.01, *p &lt; 0.05.</w:t>
      </w:r>
    </w:p>
    <w:p w:rsidR="0000765B" w:rsidRDefault="0000765B" w:rsidP="00C54F2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07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E2"/>
    <w:rsid w:val="0000765B"/>
    <w:rsid w:val="000E0E12"/>
    <w:rsid w:val="0027114B"/>
    <w:rsid w:val="00304F64"/>
    <w:rsid w:val="00313DE2"/>
    <w:rsid w:val="004C4E9F"/>
    <w:rsid w:val="004C54E7"/>
    <w:rsid w:val="00543AFD"/>
    <w:rsid w:val="005449B9"/>
    <w:rsid w:val="005A1720"/>
    <w:rsid w:val="00642A7E"/>
    <w:rsid w:val="006A129B"/>
    <w:rsid w:val="006B1857"/>
    <w:rsid w:val="006D3A2C"/>
    <w:rsid w:val="008541B3"/>
    <w:rsid w:val="008779EB"/>
    <w:rsid w:val="0088491F"/>
    <w:rsid w:val="009566B7"/>
    <w:rsid w:val="00962960"/>
    <w:rsid w:val="00985378"/>
    <w:rsid w:val="00A360D7"/>
    <w:rsid w:val="00AC58DA"/>
    <w:rsid w:val="00AE0886"/>
    <w:rsid w:val="00BF2366"/>
    <w:rsid w:val="00C06AE3"/>
    <w:rsid w:val="00C365C6"/>
    <w:rsid w:val="00C54F28"/>
    <w:rsid w:val="00C76F68"/>
    <w:rsid w:val="00CA52C4"/>
    <w:rsid w:val="00CE6720"/>
    <w:rsid w:val="00DF2DA7"/>
    <w:rsid w:val="00FD08A3"/>
    <w:rsid w:val="45FD02C6"/>
    <w:rsid w:val="5034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EE90675-1CAB-4C71-835E-1B2E8DC1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等线" w:eastAsia="等线" w:hAnsi="等线" w:cs="等线" w:hint="eastAsia"/>
      <w:color w:val="000000"/>
      <w:sz w:val="21"/>
      <w:szCs w:val="21"/>
      <w:u w:val="non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403</Words>
  <Characters>2301</Characters>
  <Application>Microsoft Office Word</Application>
  <DocSecurity>0</DocSecurity>
  <Lines>19</Lines>
  <Paragraphs>5</Paragraphs>
  <ScaleCrop>false</ScaleCrop>
  <Company>武汉大学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pazu</dc:creator>
  <cp:lastModifiedBy>Lin-Gao Ju</cp:lastModifiedBy>
  <cp:revision>29</cp:revision>
  <dcterms:created xsi:type="dcterms:W3CDTF">2020-10-09T00:25:00Z</dcterms:created>
  <dcterms:modified xsi:type="dcterms:W3CDTF">2021-01-23T07:04:00Z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