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EF1" w:rsidRPr="001E7F37" w:rsidRDefault="00170EF1" w:rsidP="00170EF1">
      <w:pPr>
        <w:pStyle w:val="NormalWeb"/>
        <w:spacing w:before="0" w:beforeAutospacing="0" w:after="0" w:afterAutospacing="0" w:line="360" w:lineRule="auto"/>
        <w:rPr>
          <w:rFonts w:ascii="Calibri" w:eastAsia="Calibri" w:hAnsi="Calibri"/>
          <w:b/>
          <w:color w:val="000000"/>
          <w:kern w:val="24"/>
          <w:lang w:val="en-US"/>
        </w:rPr>
      </w:pPr>
      <w:r w:rsidRPr="001E7F37">
        <w:rPr>
          <w:rFonts w:ascii="Calibri" w:eastAsia="Calibri" w:hAnsi="Calibri"/>
          <w:b/>
          <w:bCs/>
          <w:color w:val="000000"/>
          <w:kern w:val="24"/>
          <w:lang w:val="en-US"/>
        </w:rPr>
        <w:t>Figure S1</w:t>
      </w:r>
      <w:r w:rsidRPr="001E7F37">
        <w:rPr>
          <w:rFonts w:ascii="Calibri" w:eastAsia="Calibri" w:hAnsi="Calibri"/>
          <w:b/>
          <w:color w:val="000000"/>
          <w:kern w:val="24"/>
          <w:lang w:val="en-US"/>
        </w:rPr>
        <w:t xml:space="preserve">: In vitro Cytotoxicity </w:t>
      </w:r>
    </w:p>
    <w:p w:rsidR="00170EF1" w:rsidRPr="00DE53CB" w:rsidRDefault="00170EF1" w:rsidP="00170EF1">
      <w:pPr>
        <w:spacing w:line="480" w:lineRule="auto"/>
        <w:jc w:val="both"/>
        <w:rPr>
          <w:rFonts w:ascii="Calibri" w:hAnsi="Calibri" w:cs="Times New Roman"/>
          <w:lang w:val="en-US"/>
        </w:rPr>
      </w:pPr>
      <w:r w:rsidRPr="00DE53CB">
        <w:rPr>
          <w:rFonts w:ascii="Calibri" w:hAnsi="Calibri" w:cs="Times New Roman"/>
          <w:lang w:val="en-US"/>
        </w:rPr>
        <w:t>Lysis of PC-3 cancer cells and U2OS by PMBCs in the presence of V-aCD3 (solid lines), VAR2 alone (dashed lines) or aCD3-scFV (blue line). Concentration ranging fr</w:t>
      </w:r>
      <w:r>
        <w:rPr>
          <w:rFonts w:ascii="Calibri" w:hAnsi="Calibri" w:cs="Times New Roman"/>
          <w:lang w:val="en-US"/>
        </w:rPr>
        <w:t xml:space="preserve">om 10000 </w:t>
      </w:r>
      <w:proofErr w:type="spellStart"/>
      <w:r>
        <w:rPr>
          <w:rFonts w:ascii="Calibri" w:hAnsi="Calibri" w:cs="Times New Roman"/>
          <w:lang w:val="en-US"/>
        </w:rPr>
        <w:t>pM</w:t>
      </w:r>
      <w:proofErr w:type="spellEnd"/>
      <w:r>
        <w:rPr>
          <w:rFonts w:ascii="Calibri" w:hAnsi="Calibri" w:cs="Times New Roman"/>
          <w:lang w:val="en-US"/>
        </w:rPr>
        <w:t xml:space="preserve"> to 0.1 </w:t>
      </w:r>
      <w:proofErr w:type="spellStart"/>
      <w:r>
        <w:rPr>
          <w:rFonts w:ascii="Calibri" w:hAnsi="Calibri" w:cs="Times New Roman"/>
          <w:lang w:val="en-US"/>
        </w:rPr>
        <w:t>pM.PBMC</w:t>
      </w:r>
      <w:proofErr w:type="spellEnd"/>
      <w:r>
        <w:rPr>
          <w:rFonts w:ascii="Calibri" w:hAnsi="Calibri" w:cs="Times New Roman"/>
          <w:lang w:val="en-US"/>
        </w:rPr>
        <w:t xml:space="preserve"> donor</w:t>
      </w:r>
      <w:r w:rsidRPr="00DE53CB">
        <w:rPr>
          <w:rFonts w:ascii="Calibri" w:hAnsi="Calibri" w:cs="Times New Roman"/>
          <w:lang w:val="en-US"/>
        </w:rPr>
        <w:t xml:space="preserve"> N=3.   </w:t>
      </w: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="Calibri" w:eastAsia="Calibri" w:hAnsi="Calibri"/>
          <w:color w:val="000000"/>
          <w:kern w:val="24"/>
          <w:lang w:val="en-US"/>
        </w:rPr>
      </w:pP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="Calibri" w:eastAsia="+mn-ea" w:hAnsi="Calibri" w:cs="+mn-cs"/>
          <w:color w:val="000000"/>
          <w:kern w:val="24"/>
          <w:lang w:val="en-US"/>
        </w:rPr>
      </w:pPr>
      <w:r>
        <w:rPr>
          <w:rFonts w:ascii="Calibri" w:eastAsia="+mn-ea" w:hAnsi="Calibri" w:cs="+mn-cs"/>
          <w:b/>
          <w:bCs/>
          <w:color w:val="000000"/>
          <w:kern w:val="24"/>
          <w:lang w:val="en-US"/>
        </w:rPr>
        <w:t>Figure S2</w:t>
      </w:r>
      <w:r>
        <w:rPr>
          <w:rFonts w:ascii="Calibri" w:eastAsia="+mn-ea" w:hAnsi="Calibri" w:cs="+mn-cs"/>
          <w:color w:val="000000"/>
          <w:kern w:val="24"/>
          <w:lang w:val="en-US"/>
        </w:rPr>
        <w:t xml:space="preserve">: </w:t>
      </w:r>
      <w:r>
        <w:rPr>
          <w:rFonts w:ascii="Calibri" w:eastAsia="+mn-ea" w:hAnsi="Calibri" w:cs="+mn-cs"/>
          <w:b/>
          <w:color w:val="000000"/>
          <w:kern w:val="24"/>
          <w:lang w:val="en-US"/>
        </w:rPr>
        <w:t xml:space="preserve">HPLC profiles of </w:t>
      </w:r>
      <w:proofErr w:type="spellStart"/>
      <w:r>
        <w:rPr>
          <w:rFonts w:ascii="Calibri" w:eastAsia="+mn-ea" w:hAnsi="Calibri" w:cs="+mn-cs"/>
          <w:b/>
          <w:color w:val="000000"/>
          <w:kern w:val="24"/>
          <w:lang w:val="en-US"/>
        </w:rPr>
        <w:t>recombiants</w:t>
      </w:r>
      <w:proofErr w:type="spellEnd"/>
      <w:r w:rsidRPr="00577ECE">
        <w:rPr>
          <w:rFonts w:ascii="Calibri" w:eastAsia="+mn-ea" w:hAnsi="Calibri" w:cs="+mn-cs"/>
          <w:b/>
          <w:color w:val="000000"/>
          <w:kern w:val="24"/>
          <w:lang w:val="en-US"/>
        </w:rPr>
        <w:t xml:space="preserve"> </w:t>
      </w:r>
    </w:p>
    <w:p w:rsidR="00170EF1" w:rsidRPr="00DE53CB" w:rsidRDefault="00170EF1" w:rsidP="00170EF1">
      <w:pPr>
        <w:spacing w:line="480" w:lineRule="auto"/>
        <w:jc w:val="both"/>
        <w:rPr>
          <w:rFonts w:ascii="Calibri" w:hAnsi="Calibri" w:cs="Times New Roman"/>
          <w:lang w:val="en-US"/>
        </w:rPr>
      </w:pPr>
      <w:r w:rsidRPr="00DE53CB">
        <w:rPr>
          <w:rFonts w:ascii="Calibri" w:hAnsi="Calibri" w:cs="Times New Roman"/>
          <w:lang w:val="en-US"/>
        </w:rPr>
        <w:t xml:space="preserve"> High pressure liquid chromatography was performed on the Agilent 1100 series system, consisting of a Binary pump, 96 well-plate </w:t>
      </w:r>
      <w:proofErr w:type="spellStart"/>
      <w:r w:rsidRPr="00DE53CB">
        <w:rPr>
          <w:rFonts w:ascii="Calibri" w:hAnsi="Calibri" w:cs="Times New Roman"/>
          <w:lang w:val="en-US"/>
        </w:rPr>
        <w:t>autosampler</w:t>
      </w:r>
      <w:proofErr w:type="spellEnd"/>
      <w:r w:rsidRPr="00DE53CB">
        <w:rPr>
          <w:rFonts w:ascii="Calibri" w:hAnsi="Calibri" w:cs="Times New Roman"/>
          <w:lang w:val="en-US"/>
        </w:rPr>
        <w:t xml:space="preserve">, thermostatic column compartment and Agilent 1100 Series diode-array detector (Agilent Technologies, Denmark). Absorbance of the compounds was monitored at280 nm using a reference wavelength of 360 nm. Data acquisition was performed using Agilent </w:t>
      </w:r>
      <w:proofErr w:type="spellStart"/>
      <w:r w:rsidRPr="00DE53CB">
        <w:rPr>
          <w:rFonts w:ascii="Calibri" w:hAnsi="Calibri" w:cs="Times New Roman"/>
          <w:lang w:val="en-US"/>
        </w:rPr>
        <w:t>ChemStation</w:t>
      </w:r>
      <w:proofErr w:type="spellEnd"/>
      <w:r w:rsidRPr="00DE53CB">
        <w:rPr>
          <w:rFonts w:ascii="Calibri" w:hAnsi="Calibri" w:cs="Times New Roman"/>
          <w:lang w:val="en-US"/>
        </w:rPr>
        <w:t xml:space="preserve"> Software. The compounds were </w:t>
      </w:r>
      <w:proofErr w:type="spellStart"/>
      <w:r w:rsidRPr="00DE53CB">
        <w:rPr>
          <w:rFonts w:ascii="Calibri" w:hAnsi="Calibri" w:cs="Times New Roman"/>
          <w:lang w:val="en-US"/>
        </w:rPr>
        <w:t>analysed</w:t>
      </w:r>
      <w:proofErr w:type="spellEnd"/>
      <w:r w:rsidRPr="00DE53CB">
        <w:rPr>
          <w:rFonts w:ascii="Calibri" w:hAnsi="Calibri" w:cs="Times New Roman"/>
          <w:lang w:val="en-US"/>
        </w:rPr>
        <w:t xml:space="preserve"> on a Size exclusion column (</w:t>
      </w:r>
      <w:proofErr w:type="spellStart"/>
      <w:r w:rsidRPr="00DE53CB">
        <w:rPr>
          <w:rFonts w:ascii="Calibri" w:hAnsi="Calibri" w:cs="Times New Roman"/>
          <w:lang w:val="en-US"/>
        </w:rPr>
        <w:t>Superdex</w:t>
      </w:r>
      <w:proofErr w:type="spellEnd"/>
      <w:r w:rsidRPr="00DE53CB">
        <w:rPr>
          <w:rFonts w:ascii="Calibri" w:hAnsi="Calibri" w:cs="Times New Roman"/>
          <w:lang w:val="en-US"/>
        </w:rPr>
        <w:t xml:space="preserve"> 200 Increase, GE Healthcare). Column temperature was adjusted to 25 °C. The flow rate of the mobile phase was set at 0.075 ml/min.</w:t>
      </w:r>
    </w:p>
    <w:p w:rsidR="00170EF1" w:rsidRPr="00DE53CB" w:rsidRDefault="00170EF1" w:rsidP="00170EF1">
      <w:pPr>
        <w:spacing w:line="480" w:lineRule="auto"/>
        <w:jc w:val="both"/>
        <w:rPr>
          <w:rFonts w:ascii="Calibri" w:hAnsi="Calibri" w:cs="Times New Roman"/>
          <w:lang w:val="en-US"/>
        </w:rPr>
      </w:pPr>
      <w:r w:rsidRPr="00DE53CB">
        <w:rPr>
          <w:rFonts w:ascii="Calibri" w:hAnsi="Calibri" w:cs="Times New Roman"/>
          <w:lang w:val="en-US"/>
        </w:rPr>
        <w:t>The panel demonstrates the HPLC elution profiles of rVAR2 (green line), aCD3-scFV (Blue line) and V-aCD3 (Purple line).</w:t>
      </w: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="Calibri" w:eastAsia="+mn-ea" w:hAnsi="Calibri" w:cs="+mn-cs"/>
          <w:color w:val="000000"/>
          <w:kern w:val="24"/>
          <w:lang w:val="en-US"/>
        </w:rPr>
      </w:pPr>
    </w:p>
    <w:p w:rsidR="00170EF1" w:rsidRPr="00E45E1F" w:rsidRDefault="00170EF1" w:rsidP="00170EF1">
      <w:pPr>
        <w:pStyle w:val="NormalWeb"/>
        <w:spacing w:before="0" w:beforeAutospacing="0" w:after="0" w:afterAutospacing="0" w:line="360" w:lineRule="auto"/>
        <w:rPr>
          <w:b/>
        </w:rPr>
      </w:pPr>
      <w:r w:rsidRPr="00E45E1F">
        <w:rPr>
          <w:rFonts w:ascii="Calibri" w:eastAsia="+mn-ea" w:hAnsi="Calibri" w:cs="+mn-cs"/>
          <w:b/>
          <w:color w:val="000000"/>
          <w:kern w:val="24"/>
          <w:lang w:val="en-US"/>
        </w:rPr>
        <w:t xml:space="preserve">Figure S3: </w:t>
      </w:r>
      <w:r w:rsidRPr="009C29D0">
        <w:rPr>
          <w:rFonts w:ascii="Calibri" w:eastAsia="+mn-ea" w:hAnsi="Calibri" w:cs="+mn-cs"/>
          <w:b/>
          <w:i/>
          <w:color w:val="000000"/>
          <w:kern w:val="24"/>
          <w:lang w:val="en-US"/>
        </w:rPr>
        <w:t>In vivo</w:t>
      </w:r>
      <w:r>
        <w:rPr>
          <w:rFonts w:ascii="Calibri" w:eastAsia="+mn-ea" w:hAnsi="Calibri" w:cs="+mn-cs"/>
          <w:b/>
          <w:color w:val="000000"/>
          <w:kern w:val="24"/>
          <w:lang w:val="en-US"/>
        </w:rPr>
        <w:t xml:space="preserve"> efficacy of V-aCD3 in the absence of PBMC</w:t>
      </w: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lang w:val="en-US"/>
        </w:rPr>
      </w:pPr>
      <w:r w:rsidRPr="007538A9">
        <w:rPr>
          <w:rFonts w:asciiTheme="minorHAnsi" w:hAnsiTheme="minorHAnsi"/>
          <w:lang w:val="en-US"/>
        </w:rPr>
        <w:t>Tumor size of individual mice treated with</w:t>
      </w:r>
      <w:r>
        <w:rPr>
          <w:rFonts w:asciiTheme="minorHAnsi" w:hAnsiTheme="minorHAnsi"/>
          <w:lang w:val="en-US"/>
        </w:rPr>
        <w:t xml:space="preserve"> </w:t>
      </w:r>
      <w:r w:rsidRPr="007538A9">
        <w:rPr>
          <w:rFonts w:asciiTheme="minorHAnsi" w:hAnsiTheme="minorHAnsi"/>
          <w:b/>
          <w:lang w:val="en-US"/>
        </w:rPr>
        <w:t>a</w:t>
      </w:r>
      <w:r w:rsidRPr="007538A9">
        <w:rPr>
          <w:rFonts w:asciiTheme="minorHAnsi" w:hAnsiTheme="minorHAnsi"/>
          <w:lang w:val="en-US"/>
        </w:rPr>
        <w:t xml:space="preserve"> </w:t>
      </w:r>
      <w:r>
        <w:rPr>
          <w:rFonts w:asciiTheme="minorHAnsi" w:hAnsiTheme="minorHAnsi"/>
          <w:lang w:val="en-US"/>
        </w:rPr>
        <w:t xml:space="preserve">PBS or </w:t>
      </w:r>
      <w:r w:rsidRPr="007538A9">
        <w:rPr>
          <w:rFonts w:asciiTheme="minorHAnsi" w:hAnsiTheme="minorHAnsi"/>
          <w:b/>
          <w:lang w:val="en-US"/>
        </w:rPr>
        <w:t>b</w:t>
      </w:r>
      <w:r>
        <w:rPr>
          <w:rFonts w:asciiTheme="minorHAnsi" w:hAnsiTheme="minorHAnsi"/>
          <w:lang w:val="en-US"/>
        </w:rPr>
        <w:t xml:space="preserve"> V-aCD3 in the absence of</w:t>
      </w:r>
      <w:r w:rsidRPr="007538A9">
        <w:rPr>
          <w:rFonts w:asciiTheme="minorHAnsi" w:hAnsiTheme="minorHAnsi"/>
          <w:lang w:val="en-US"/>
        </w:rPr>
        <w:t xml:space="preserve"> human PBMC. </w:t>
      </w: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lang w:val="en-US"/>
        </w:rPr>
      </w:pPr>
    </w:p>
    <w:p w:rsidR="00170EF1" w:rsidRPr="00E45E1F" w:rsidRDefault="00170EF1" w:rsidP="00170EF1">
      <w:pPr>
        <w:pStyle w:val="NormalWeb"/>
        <w:spacing w:before="0" w:beforeAutospacing="0" w:after="0" w:afterAutospacing="0" w:line="360" w:lineRule="auto"/>
        <w:rPr>
          <w:b/>
        </w:rPr>
      </w:pPr>
      <w:r>
        <w:rPr>
          <w:rFonts w:ascii="Calibri" w:eastAsia="+mn-ea" w:hAnsi="Calibri" w:cs="+mn-cs"/>
          <w:b/>
          <w:color w:val="000000"/>
          <w:kern w:val="24"/>
          <w:lang w:val="en-US"/>
        </w:rPr>
        <w:t>Figure S4</w:t>
      </w:r>
      <w:r w:rsidRPr="00E45E1F">
        <w:rPr>
          <w:rFonts w:ascii="Calibri" w:eastAsia="+mn-ea" w:hAnsi="Calibri" w:cs="+mn-cs"/>
          <w:b/>
          <w:color w:val="000000"/>
          <w:kern w:val="24"/>
          <w:lang w:val="en-US"/>
        </w:rPr>
        <w:t xml:space="preserve">: </w:t>
      </w:r>
      <w:r>
        <w:rPr>
          <w:rFonts w:ascii="Calibri" w:eastAsia="+mn-ea" w:hAnsi="Calibri" w:cs="+mn-cs"/>
          <w:b/>
          <w:color w:val="000000"/>
          <w:kern w:val="24"/>
          <w:lang w:val="en-US"/>
        </w:rPr>
        <w:t xml:space="preserve">CSA inhibition of VAR2 and V-aCD3 to target UC3 cancer cells. </w:t>
      </w:r>
    </w:p>
    <w:p w:rsidR="00170EF1" w:rsidRPr="00293663" w:rsidRDefault="00170EF1" w:rsidP="00170EF1">
      <w:pPr>
        <w:spacing w:line="480" w:lineRule="auto"/>
        <w:jc w:val="both"/>
        <w:rPr>
          <w:rFonts w:ascii="Calibri" w:hAnsi="Calibri" w:cs="Times New Roman"/>
          <w:lang w:val="en-US"/>
        </w:rPr>
      </w:pPr>
      <w:r>
        <w:rPr>
          <w:rFonts w:ascii="Calibri" w:hAnsi="Calibri" w:cs="Times New Roman"/>
          <w:lang w:val="en-US"/>
        </w:rPr>
        <w:t xml:space="preserve">Binding of VAR2 and V-aCD3 to cancer cells are inhibited </w:t>
      </w:r>
      <w:r w:rsidRPr="005208EF">
        <w:rPr>
          <w:rFonts w:ascii="Calibri" w:hAnsi="Calibri" w:cs="Times New Roman"/>
        </w:rPr>
        <w:t>by competition with purified</w:t>
      </w:r>
      <w:r>
        <w:rPr>
          <w:rFonts w:ascii="Calibri" w:hAnsi="Calibri" w:cs="Times New Roman"/>
        </w:rPr>
        <w:t xml:space="preserve"> soluble</w:t>
      </w:r>
      <w:r w:rsidRPr="005208EF">
        <w:rPr>
          <w:rFonts w:ascii="Calibri" w:hAnsi="Calibri" w:cs="Times New Roman"/>
        </w:rPr>
        <w:t> CSA</w:t>
      </w:r>
      <w:r>
        <w:rPr>
          <w:rFonts w:ascii="Calibri" w:hAnsi="Calibri" w:cs="Times New Roman"/>
        </w:rPr>
        <w:t xml:space="preserve">. </w:t>
      </w: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lang w:val="en-US"/>
        </w:rPr>
      </w:pPr>
    </w:p>
    <w:p w:rsidR="00170EF1" w:rsidRDefault="00170EF1" w:rsidP="00170EF1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lang w:val="en-US"/>
        </w:rPr>
      </w:pPr>
      <w:r w:rsidRPr="00002218">
        <w:rPr>
          <w:rFonts w:asciiTheme="minorHAnsi" w:hAnsiTheme="minorHAnsi"/>
          <w:b/>
          <w:lang w:val="en-US"/>
        </w:rPr>
        <w:t xml:space="preserve">Figure S5: </w:t>
      </w:r>
      <w:r>
        <w:rPr>
          <w:rFonts w:asciiTheme="minorHAnsi" w:hAnsiTheme="minorHAnsi"/>
          <w:b/>
          <w:lang w:val="en-US"/>
        </w:rPr>
        <w:t>Bioluminescence signals pre-treatment</w:t>
      </w:r>
    </w:p>
    <w:p w:rsidR="00170EF1" w:rsidRPr="00E83FCC" w:rsidRDefault="00170EF1" w:rsidP="00170EF1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lang w:val="en-US"/>
        </w:rPr>
      </w:pPr>
      <w:r w:rsidRPr="00293663">
        <w:rPr>
          <w:rFonts w:ascii="Calibri" w:hAnsi="Calibri"/>
          <w:lang w:val="en-US"/>
        </w:rPr>
        <w:t>Tumor size (bioluminescence signa</w:t>
      </w:r>
      <w:r>
        <w:rPr>
          <w:rFonts w:ascii="Calibri" w:hAnsi="Calibri"/>
          <w:lang w:val="en-US"/>
        </w:rPr>
        <w:t xml:space="preserve">l in bladder from cancer cells) on day 3 (pre-treatment) for each individual mice. The mice without a significant tumor signal was excluded from the study. </w:t>
      </w:r>
    </w:p>
    <w:p w:rsidR="00CE7894" w:rsidRPr="00170EF1" w:rsidRDefault="00CE7894">
      <w:pPr>
        <w:rPr>
          <w:lang w:val="en-US"/>
        </w:rPr>
      </w:pPr>
      <w:bookmarkStart w:id="0" w:name="_GoBack"/>
      <w:bookmarkEnd w:id="0"/>
    </w:p>
    <w:sectPr w:rsidR="00CE7894" w:rsidRPr="00170EF1" w:rsidSect="00B44389">
      <w:headerReference w:type="default" r:id="rId4"/>
      <w:footerReference w:type="even" r:id="rId5"/>
      <w:footerReference w:type="default" r:id="rId6"/>
      <w:pgSz w:w="11900" w:h="16840"/>
      <w:pgMar w:top="1701" w:right="1134" w:bottom="1701" w:left="1134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1018332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F2B24" w:rsidRDefault="00170EF1" w:rsidP="002B73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F2B24" w:rsidRDefault="00170EF1" w:rsidP="00750D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2876958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F2B24" w:rsidRDefault="00170EF1" w:rsidP="002B73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F2B24" w:rsidRDefault="00170EF1" w:rsidP="00750D1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B24" w:rsidRDefault="00170E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F1"/>
    <w:rsid w:val="000E4B98"/>
    <w:rsid w:val="0012288A"/>
    <w:rsid w:val="00170EF1"/>
    <w:rsid w:val="001868AA"/>
    <w:rsid w:val="00254CD3"/>
    <w:rsid w:val="00311C1C"/>
    <w:rsid w:val="00434917"/>
    <w:rsid w:val="004C1D5A"/>
    <w:rsid w:val="00573B93"/>
    <w:rsid w:val="005E5216"/>
    <w:rsid w:val="006C1119"/>
    <w:rsid w:val="006D2487"/>
    <w:rsid w:val="00711E86"/>
    <w:rsid w:val="0084252A"/>
    <w:rsid w:val="009C795E"/>
    <w:rsid w:val="00CE7894"/>
    <w:rsid w:val="00D26078"/>
    <w:rsid w:val="00E20A80"/>
    <w:rsid w:val="00F4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3BB0A-DCB0-4F79-9DA1-E8165D12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EF1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0EF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EF1"/>
    <w:rPr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170EF1"/>
  </w:style>
  <w:style w:type="paragraph" w:styleId="Header">
    <w:name w:val="header"/>
    <w:basedOn w:val="Normal"/>
    <w:link w:val="HeaderChar"/>
    <w:uiPriority w:val="99"/>
    <w:unhideWhenUsed/>
    <w:rsid w:val="00170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EF1"/>
    <w:rPr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170E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LineNumber">
    <w:name w:val="line number"/>
    <w:basedOn w:val="DefaultParagraphFont"/>
    <w:uiPriority w:val="99"/>
    <w:semiHidden/>
    <w:unhideWhenUsed/>
    <w:rsid w:val="00170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1341</Characters>
  <Application>Microsoft Office Word</Application>
  <DocSecurity>0</DocSecurity>
  <Lines>20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SUND-KU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Salanti</dc:creator>
  <cp:keywords/>
  <dc:description/>
  <cp:lastModifiedBy>Ali Salanti</cp:lastModifiedBy>
  <cp:revision>1</cp:revision>
  <dcterms:created xsi:type="dcterms:W3CDTF">2021-03-01T08:19:00Z</dcterms:created>
  <dcterms:modified xsi:type="dcterms:W3CDTF">2021-03-01T08:19:00Z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