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6820" w:rsidRDefault="00BC1FDA" w:rsidP="00CC636D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  <w:r w:rsidRPr="00BC1FDA">
        <w:rPr>
          <w:rFonts w:ascii="Arial" w:hAnsi="Arial" w:cs="Arial"/>
          <w:b/>
          <w:bCs/>
          <w:sz w:val="24"/>
          <w:szCs w:val="24"/>
        </w:rPr>
        <w:t>Supplementary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DC6820" w:rsidRPr="00CC636D">
        <w:rPr>
          <w:rFonts w:ascii="Arial" w:hAnsi="Arial" w:cs="Arial"/>
          <w:b/>
          <w:bCs/>
          <w:sz w:val="24"/>
          <w:szCs w:val="24"/>
        </w:rPr>
        <w:t>Figure 1</w:t>
      </w:r>
      <w:r w:rsidR="00DC6820">
        <w:rPr>
          <w:rFonts w:ascii="Arial" w:hAnsi="Arial" w:cs="Arial"/>
          <w:b/>
          <w:bCs/>
          <w:sz w:val="24"/>
          <w:szCs w:val="24"/>
        </w:rPr>
        <w:t xml:space="preserve">. The effects of FXR agonists and antagonist in </w:t>
      </w:r>
      <w:r w:rsidR="00DC6820" w:rsidRPr="00CC636D">
        <w:rPr>
          <w:rFonts w:ascii="Arial" w:hAnsi="Arial" w:cs="Arial"/>
          <w:b/>
          <w:bCs/>
          <w:sz w:val="24"/>
          <w:szCs w:val="24"/>
        </w:rPr>
        <w:t>hypoxia-induced HK2 cells.</w:t>
      </w:r>
    </w:p>
    <w:p w:rsidR="00DC6820" w:rsidRDefault="00DC6820" w:rsidP="00CC636D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</w:rPr>
        <w:t xml:space="preserve">After treatment with </w:t>
      </w:r>
      <w:r w:rsidR="000D6873">
        <w:rPr>
          <w:rFonts w:ascii="Arial" w:hAnsi="Arial" w:cs="Arial"/>
          <w:sz w:val="24"/>
        </w:rPr>
        <w:t>z</w:t>
      </w:r>
      <w:r>
        <w:rPr>
          <w:rFonts w:ascii="Arial" w:hAnsi="Arial" w:cs="Arial"/>
          <w:sz w:val="24"/>
        </w:rPr>
        <w:t>-</w:t>
      </w:r>
      <w:proofErr w:type="spellStart"/>
      <w:r>
        <w:rPr>
          <w:rFonts w:ascii="Arial" w:hAnsi="Arial" w:cs="Arial"/>
          <w:sz w:val="24"/>
        </w:rPr>
        <w:t>guggulsterone</w:t>
      </w:r>
      <w:proofErr w:type="spellEnd"/>
      <w:r>
        <w:rPr>
          <w:rFonts w:ascii="Arial" w:hAnsi="Arial" w:cs="Arial"/>
          <w:sz w:val="24"/>
        </w:rPr>
        <w:t xml:space="preserve"> (15 </w:t>
      </w:r>
      <w:proofErr w:type="spellStart"/>
      <w:r>
        <w:rPr>
          <w:rFonts w:ascii="Arial" w:hAnsi="Arial" w:cs="Arial"/>
          <w:sz w:val="24"/>
        </w:rPr>
        <w:t>μM</w:t>
      </w:r>
      <w:proofErr w:type="spellEnd"/>
      <w:r>
        <w:rPr>
          <w:rFonts w:ascii="Arial" w:hAnsi="Arial" w:cs="Arial"/>
          <w:sz w:val="24"/>
        </w:rPr>
        <w:t>), GW4064 (</w:t>
      </w:r>
      <w:r w:rsidR="00015EB2">
        <w:rPr>
          <w:rFonts w:ascii="Arial" w:hAnsi="Arial" w:cs="Arial"/>
          <w:sz w:val="24"/>
        </w:rPr>
        <w:t>1</w:t>
      </w:r>
      <w:r>
        <w:rPr>
          <w:rFonts w:ascii="Arial" w:hAnsi="Arial" w:cs="Arial"/>
          <w:sz w:val="24"/>
        </w:rPr>
        <w:t xml:space="preserve"> </w:t>
      </w:r>
      <w:proofErr w:type="spellStart"/>
      <w:r w:rsidR="00015EB2">
        <w:rPr>
          <w:rFonts w:ascii="Arial" w:hAnsi="Arial" w:cs="Arial"/>
          <w:sz w:val="24"/>
        </w:rPr>
        <w:t>μ</w:t>
      </w:r>
      <w:r>
        <w:rPr>
          <w:rFonts w:ascii="Arial" w:hAnsi="Arial" w:cs="Arial"/>
          <w:sz w:val="24"/>
        </w:rPr>
        <w:t>M</w:t>
      </w:r>
      <w:proofErr w:type="spellEnd"/>
      <w:r>
        <w:rPr>
          <w:rFonts w:ascii="Arial" w:hAnsi="Arial" w:cs="Arial"/>
          <w:sz w:val="24"/>
        </w:rPr>
        <w:t>), or IN</w:t>
      </w:r>
      <w:r w:rsidR="00015EB2">
        <w:rPr>
          <w:rFonts w:ascii="Arial" w:hAnsi="Arial" w:cs="Arial"/>
          <w:sz w:val="24"/>
        </w:rPr>
        <w:t>T</w:t>
      </w:r>
      <w:r>
        <w:rPr>
          <w:rFonts w:ascii="Arial" w:hAnsi="Arial" w:cs="Arial"/>
          <w:sz w:val="24"/>
        </w:rPr>
        <w:t>-747 (</w:t>
      </w:r>
      <w:r w:rsidR="00015EB2">
        <w:rPr>
          <w:rFonts w:ascii="Arial" w:hAnsi="Arial" w:cs="Arial"/>
          <w:sz w:val="24"/>
        </w:rPr>
        <w:t>1</w:t>
      </w:r>
      <w:r>
        <w:rPr>
          <w:rFonts w:ascii="Arial" w:hAnsi="Arial" w:cs="Arial"/>
          <w:sz w:val="24"/>
        </w:rPr>
        <w:t xml:space="preserve"> </w:t>
      </w:r>
      <w:proofErr w:type="spellStart"/>
      <w:r w:rsidR="00015EB2">
        <w:rPr>
          <w:rFonts w:ascii="Arial" w:hAnsi="Arial" w:cs="Arial"/>
          <w:sz w:val="24"/>
        </w:rPr>
        <w:t>μ</w:t>
      </w:r>
      <w:r>
        <w:rPr>
          <w:rFonts w:ascii="Arial" w:hAnsi="Arial" w:cs="Arial"/>
          <w:sz w:val="24"/>
        </w:rPr>
        <w:t>M</w:t>
      </w:r>
      <w:proofErr w:type="spellEnd"/>
      <w:r>
        <w:rPr>
          <w:rFonts w:ascii="Arial" w:hAnsi="Arial" w:cs="Arial"/>
          <w:sz w:val="24"/>
        </w:rPr>
        <w:t>) for 1 h,</w:t>
      </w:r>
      <w:r w:rsidR="00015EB2">
        <w:rPr>
          <w:rFonts w:ascii="Arial" w:hAnsi="Arial" w:cs="Arial"/>
          <w:sz w:val="24"/>
        </w:rPr>
        <w:t xml:space="preserve"> HK2 cells were exposed to hypoxia for another 6 h. The mRNA levels of autophagy-related genes</w:t>
      </w:r>
      <w:r w:rsidR="00015EB2" w:rsidRPr="00015EB2">
        <w:rPr>
          <w:rFonts w:ascii="Arial" w:hAnsi="Arial" w:cs="Arial"/>
          <w:i/>
          <w:sz w:val="24"/>
        </w:rPr>
        <w:t>, ATG2A, ATG2B, ATG7</w:t>
      </w:r>
      <w:r w:rsidR="00015EB2">
        <w:rPr>
          <w:rFonts w:ascii="Arial" w:hAnsi="Arial" w:cs="Arial"/>
          <w:sz w:val="24"/>
        </w:rPr>
        <w:t xml:space="preserve">, and </w:t>
      </w:r>
      <w:r w:rsidR="00015EB2" w:rsidRPr="00015EB2">
        <w:rPr>
          <w:rFonts w:ascii="Arial" w:hAnsi="Arial" w:cs="Arial"/>
          <w:i/>
          <w:sz w:val="24"/>
        </w:rPr>
        <w:t>ULK1</w:t>
      </w:r>
      <w:r w:rsidR="00015EB2">
        <w:rPr>
          <w:rFonts w:ascii="Arial" w:hAnsi="Arial" w:cs="Arial"/>
          <w:sz w:val="24"/>
        </w:rPr>
        <w:t xml:space="preserve">, were measured by </w:t>
      </w:r>
      <w:proofErr w:type="spellStart"/>
      <w:r w:rsidR="00015EB2">
        <w:rPr>
          <w:rFonts w:ascii="Arial" w:hAnsi="Arial" w:cs="Arial"/>
          <w:sz w:val="24"/>
        </w:rPr>
        <w:t>qRT</w:t>
      </w:r>
      <w:proofErr w:type="spellEnd"/>
      <w:r w:rsidR="00015EB2">
        <w:rPr>
          <w:rFonts w:ascii="Arial" w:hAnsi="Arial" w:cs="Arial"/>
          <w:sz w:val="24"/>
        </w:rPr>
        <w:t xml:space="preserve">-PCR. The values for vehicle </w:t>
      </w:r>
      <w:proofErr w:type="spellStart"/>
      <w:r w:rsidR="00015EB2">
        <w:rPr>
          <w:rFonts w:ascii="Arial" w:hAnsi="Arial" w:cs="Arial"/>
          <w:sz w:val="24"/>
        </w:rPr>
        <w:t>normoxia</w:t>
      </w:r>
      <w:proofErr w:type="spellEnd"/>
      <w:r w:rsidR="00015EB2">
        <w:rPr>
          <w:rFonts w:ascii="Arial" w:hAnsi="Arial" w:cs="Arial"/>
          <w:sz w:val="24"/>
        </w:rPr>
        <w:t xml:space="preserve"> treatment were set to 1 (n = 4). </w:t>
      </w:r>
      <w:r w:rsidR="00015EB2" w:rsidRPr="00CC636D">
        <w:rPr>
          <w:rFonts w:ascii="Arial" w:hAnsi="Arial" w:cs="Arial"/>
          <w:sz w:val="24"/>
          <w:szCs w:val="24"/>
        </w:rPr>
        <w:t>All values are presented as mean ± SD. Statistical significance was measured using the one-way ANOVA with the Bonferroni post-test. **P&lt;0.005</w:t>
      </w:r>
      <w:r w:rsidR="00015EB2">
        <w:rPr>
          <w:rFonts w:ascii="Arial" w:hAnsi="Arial" w:cs="Arial"/>
          <w:sz w:val="24"/>
          <w:szCs w:val="24"/>
        </w:rPr>
        <w:t xml:space="preserve"> and </w:t>
      </w:r>
      <w:r w:rsidR="00015EB2">
        <w:rPr>
          <w:rFonts w:ascii="Arial" w:hAnsi="Arial" w:cs="Arial"/>
          <w:sz w:val="24"/>
          <w:vertAlign w:val="superscript"/>
        </w:rPr>
        <w:t>##</w:t>
      </w:r>
      <w:r w:rsidR="00015EB2">
        <w:rPr>
          <w:rFonts w:ascii="Arial" w:hAnsi="Arial" w:cs="Arial"/>
          <w:sz w:val="24"/>
        </w:rPr>
        <w:t>P&lt;0.005.</w:t>
      </w:r>
    </w:p>
    <w:p w:rsidR="00DC6820" w:rsidRDefault="00DC6820" w:rsidP="00CC636D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</w:p>
    <w:p w:rsidR="00015EB2" w:rsidRDefault="00BC1FDA" w:rsidP="00CC636D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  <w:r w:rsidRPr="00BC1FDA">
        <w:rPr>
          <w:rFonts w:ascii="Arial" w:hAnsi="Arial" w:cs="Arial"/>
          <w:b/>
          <w:bCs/>
          <w:sz w:val="24"/>
          <w:szCs w:val="24"/>
        </w:rPr>
        <w:t>Supplementary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015EB2" w:rsidRPr="00CC636D">
        <w:rPr>
          <w:rFonts w:ascii="Arial" w:hAnsi="Arial" w:cs="Arial"/>
          <w:b/>
          <w:bCs/>
          <w:sz w:val="24"/>
          <w:szCs w:val="24"/>
        </w:rPr>
        <w:t xml:space="preserve">Figure </w:t>
      </w:r>
      <w:r w:rsidR="00101C35">
        <w:rPr>
          <w:rFonts w:ascii="Arial" w:hAnsi="Arial" w:cs="Arial"/>
          <w:b/>
          <w:bCs/>
          <w:sz w:val="24"/>
          <w:szCs w:val="24"/>
        </w:rPr>
        <w:t>2</w:t>
      </w:r>
      <w:r w:rsidR="00015EB2" w:rsidRPr="00CC636D">
        <w:rPr>
          <w:rFonts w:ascii="Arial" w:hAnsi="Arial" w:cs="Arial"/>
          <w:b/>
          <w:bCs/>
          <w:sz w:val="24"/>
          <w:szCs w:val="24"/>
        </w:rPr>
        <w:t xml:space="preserve">. </w:t>
      </w:r>
      <w:r w:rsidR="00015EB2">
        <w:rPr>
          <w:rFonts w:ascii="Arial" w:hAnsi="Arial" w:cs="Arial"/>
          <w:b/>
          <w:bCs/>
          <w:sz w:val="24"/>
          <w:szCs w:val="24"/>
        </w:rPr>
        <w:t xml:space="preserve">Deficient of FXR increased autophagy flux in </w:t>
      </w:r>
      <w:r w:rsidR="00015EB2" w:rsidRPr="00CC636D">
        <w:rPr>
          <w:rFonts w:ascii="Arial" w:hAnsi="Arial" w:cs="Arial"/>
          <w:b/>
          <w:bCs/>
          <w:sz w:val="24"/>
          <w:szCs w:val="24"/>
        </w:rPr>
        <w:t>hypoxia-induced HK2 cells.</w:t>
      </w:r>
    </w:p>
    <w:p w:rsidR="00101C35" w:rsidRDefault="00101C35" w:rsidP="00101C35">
      <w:pPr>
        <w:spacing w:line="480" w:lineRule="auto"/>
        <w:rPr>
          <w:rFonts w:ascii="Arial" w:hAnsi="Arial" w:cs="Arial"/>
          <w:sz w:val="24"/>
        </w:rPr>
      </w:pPr>
      <w:r w:rsidRPr="00101C35">
        <w:rPr>
          <w:rFonts w:ascii="Arial" w:hAnsi="Arial" w:cs="Arial"/>
          <w:bCs/>
          <w:sz w:val="24"/>
          <w:szCs w:val="24"/>
        </w:rPr>
        <w:t xml:space="preserve">HK2 cells were transfected with the </w:t>
      </w:r>
      <w:proofErr w:type="spellStart"/>
      <w:r w:rsidRPr="00101C35">
        <w:rPr>
          <w:rFonts w:ascii="Arial" w:hAnsi="Arial" w:cs="Arial"/>
          <w:bCs/>
          <w:sz w:val="24"/>
          <w:szCs w:val="24"/>
        </w:rPr>
        <w:t>siFXR</w:t>
      </w:r>
      <w:proofErr w:type="spellEnd"/>
      <w:r w:rsidRPr="00101C35">
        <w:rPr>
          <w:rFonts w:ascii="Arial" w:hAnsi="Arial" w:cs="Arial"/>
          <w:bCs/>
          <w:sz w:val="24"/>
          <w:szCs w:val="24"/>
        </w:rPr>
        <w:t xml:space="preserve"> as indicated, and 48 h later, the cells were exposed to hypoxia for 6 h</w:t>
      </w:r>
      <w:r>
        <w:rPr>
          <w:rFonts w:ascii="Arial" w:hAnsi="Arial" w:cs="Arial"/>
          <w:bCs/>
          <w:sz w:val="24"/>
          <w:szCs w:val="24"/>
        </w:rPr>
        <w:t xml:space="preserve"> after autophagy inhibitors (Baf-1 and CQ) treatment for 1 h</w:t>
      </w:r>
      <w:r w:rsidRPr="00101C35">
        <w:rPr>
          <w:rFonts w:ascii="Arial" w:hAnsi="Arial" w:cs="Arial"/>
          <w:bCs/>
          <w:sz w:val="24"/>
          <w:szCs w:val="24"/>
        </w:rPr>
        <w:t>.</w:t>
      </w:r>
      <w:r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sz w:val="24"/>
        </w:rPr>
        <w:t xml:space="preserve">The protein levels of the indicated genes were detected by immunoblotting (A), and the relative protein levels </w:t>
      </w:r>
      <w:r>
        <w:rPr>
          <w:rFonts w:ascii="Arial" w:eastAsia="맑은 고딕" w:hAnsi="Arial" w:cs="Arial"/>
          <w:sz w:val="24"/>
        </w:rPr>
        <w:t>are</w:t>
      </w:r>
      <w:r>
        <w:rPr>
          <w:rFonts w:ascii="Arial" w:hAnsi="Arial" w:cs="Arial"/>
          <w:sz w:val="24"/>
        </w:rPr>
        <w:t xml:space="preserve"> shown (n = 4). The values for the </w:t>
      </w:r>
      <w:proofErr w:type="spellStart"/>
      <w:r>
        <w:rPr>
          <w:rFonts w:ascii="Arial" w:hAnsi="Arial" w:cs="Arial"/>
          <w:sz w:val="24"/>
        </w:rPr>
        <w:t>siControl</w:t>
      </w:r>
      <w:proofErr w:type="spellEnd"/>
      <w:r>
        <w:rPr>
          <w:rFonts w:ascii="Arial" w:hAnsi="Arial" w:cs="Arial"/>
          <w:sz w:val="24"/>
        </w:rPr>
        <w:t xml:space="preserve"> </w:t>
      </w:r>
      <w:proofErr w:type="spellStart"/>
      <w:r>
        <w:rPr>
          <w:rFonts w:ascii="Arial" w:hAnsi="Arial" w:cs="Arial"/>
          <w:sz w:val="24"/>
        </w:rPr>
        <w:t>normoxia</w:t>
      </w:r>
      <w:proofErr w:type="spellEnd"/>
      <w:r>
        <w:rPr>
          <w:rFonts w:ascii="Arial" w:hAnsi="Arial" w:cs="Arial"/>
          <w:sz w:val="24"/>
        </w:rPr>
        <w:t xml:space="preserve"> were set to 1. All values are presented as </w:t>
      </w:r>
      <w:r>
        <w:rPr>
          <w:rFonts w:ascii="Arial" w:eastAsia="맑은 고딕" w:hAnsi="Arial" w:cs="Arial"/>
          <w:sz w:val="24"/>
        </w:rPr>
        <w:t xml:space="preserve">the </w:t>
      </w:r>
      <w:r>
        <w:rPr>
          <w:rFonts w:ascii="Arial" w:hAnsi="Arial" w:cs="Arial"/>
          <w:sz w:val="24"/>
        </w:rPr>
        <w:t xml:space="preserve">mean </w:t>
      </w:r>
      <w:r>
        <w:rPr>
          <w:rFonts w:ascii="Arial" w:eastAsia="맑은 고딕" w:hAnsi="Arial" w:cs="Arial"/>
          <w:sz w:val="24"/>
        </w:rPr>
        <w:t>±</w:t>
      </w:r>
      <w:r>
        <w:rPr>
          <w:rFonts w:ascii="Arial" w:hAnsi="Arial" w:cs="Arial"/>
          <w:sz w:val="24"/>
        </w:rPr>
        <w:t xml:space="preserve"> SD. Statistical significance was measured using </w:t>
      </w:r>
      <w:r w:rsidR="00A10C0A" w:rsidRPr="00CC636D">
        <w:rPr>
          <w:rFonts w:ascii="Arial" w:hAnsi="Arial" w:cs="Arial"/>
          <w:sz w:val="24"/>
          <w:szCs w:val="24"/>
        </w:rPr>
        <w:t xml:space="preserve">one-way </w:t>
      </w:r>
      <w:r>
        <w:rPr>
          <w:rFonts w:ascii="Arial" w:hAnsi="Arial" w:cs="Arial"/>
          <w:sz w:val="24"/>
        </w:rPr>
        <w:t>ANOVA with the Bonferroni post-test. *P&lt;0.05, **P&lt;0.005</w:t>
      </w:r>
      <w:r w:rsidR="00A10C0A">
        <w:rPr>
          <w:rFonts w:ascii="Arial" w:hAnsi="Arial" w:cs="Arial"/>
          <w:sz w:val="24"/>
        </w:rPr>
        <w:t>.</w:t>
      </w:r>
    </w:p>
    <w:p w:rsidR="00DC6820" w:rsidRDefault="00DC6820" w:rsidP="00CC636D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</w:p>
    <w:p w:rsidR="00CC636D" w:rsidRPr="00CC636D" w:rsidRDefault="00BC1FDA" w:rsidP="00CC636D">
      <w:pPr>
        <w:spacing w:line="480" w:lineRule="auto"/>
        <w:rPr>
          <w:rFonts w:ascii="Arial" w:hAnsi="Arial" w:cs="Arial"/>
          <w:sz w:val="24"/>
          <w:szCs w:val="24"/>
        </w:rPr>
      </w:pPr>
      <w:r w:rsidRPr="00BC1FDA">
        <w:rPr>
          <w:rFonts w:ascii="Arial" w:hAnsi="Arial" w:cs="Arial"/>
          <w:b/>
          <w:bCs/>
          <w:sz w:val="24"/>
          <w:szCs w:val="24"/>
        </w:rPr>
        <w:t>Supplementary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CC636D" w:rsidRPr="00CC636D">
        <w:rPr>
          <w:rFonts w:ascii="Arial" w:hAnsi="Arial" w:cs="Arial"/>
          <w:b/>
          <w:bCs/>
          <w:sz w:val="24"/>
          <w:szCs w:val="24"/>
        </w:rPr>
        <w:t xml:space="preserve">Figure </w:t>
      </w:r>
      <w:r w:rsidR="00A10C0A">
        <w:rPr>
          <w:rFonts w:ascii="Arial" w:hAnsi="Arial" w:cs="Arial"/>
          <w:b/>
          <w:bCs/>
          <w:sz w:val="24"/>
          <w:szCs w:val="24"/>
        </w:rPr>
        <w:t>3</w:t>
      </w:r>
      <w:r w:rsidR="00CC636D" w:rsidRPr="00CC636D">
        <w:rPr>
          <w:rFonts w:ascii="Arial" w:hAnsi="Arial" w:cs="Arial"/>
          <w:b/>
          <w:bCs/>
          <w:sz w:val="24"/>
          <w:szCs w:val="24"/>
        </w:rPr>
        <w:t xml:space="preserve">. Renal apoptosis is induced in I/R injury and hypoxia-induced HK2 cells. </w:t>
      </w:r>
    </w:p>
    <w:p w:rsidR="00CC636D" w:rsidRPr="00CC636D" w:rsidRDefault="00CC636D" w:rsidP="00CC636D">
      <w:pPr>
        <w:spacing w:line="480" w:lineRule="auto"/>
        <w:rPr>
          <w:rFonts w:ascii="Arial" w:hAnsi="Arial" w:cs="Arial"/>
          <w:sz w:val="24"/>
          <w:szCs w:val="24"/>
        </w:rPr>
      </w:pPr>
      <w:r w:rsidRPr="00CC636D">
        <w:rPr>
          <w:rFonts w:ascii="Arial" w:hAnsi="Arial" w:cs="Arial"/>
          <w:sz w:val="24"/>
          <w:szCs w:val="24"/>
        </w:rPr>
        <w:t xml:space="preserve">(A) At 48 h after I/R, the mice were euthanized and the kidneys were collected (n = 4). Protein levels of Bcl2 and </w:t>
      </w:r>
      <w:proofErr w:type="spellStart"/>
      <w:r w:rsidRPr="00CC636D">
        <w:rPr>
          <w:rFonts w:ascii="Arial" w:hAnsi="Arial" w:cs="Arial"/>
          <w:sz w:val="24"/>
          <w:szCs w:val="24"/>
        </w:rPr>
        <w:t>Bax</w:t>
      </w:r>
      <w:proofErr w:type="spellEnd"/>
      <w:r w:rsidRPr="00CC636D">
        <w:rPr>
          <w:rFonts w:ascii="Arial" w:hAnsi="Arial" w:cs="Arial"/>
          <w:sz w:val="24"/>
          <w:szCs w:val="24"/>
        </w:rPr>
        <w:t xml:space="preserve"> were detected by immunoblot. Relative protein levels were shown. The values for Sham group are set to 1. (B) HK2 cells were incubated with hypoxia for </w:t>
      </w:r>
      <w:r w:rsidRPr="00CC636D">
        <w:rPr>
          <w:rFonts w:ascii="Arial" w:hAnsi="Arial" w:cs="Arial"/>
          <w:sz w:val="24"/>
          <w:szCs w:val="24"/>
        </w:rPr>
        <w:lastRenderedPageBreak/>
        <w:t xml:space="preserve">indicated time and protein levels of Bcl2 and </w:t>
      </w:r>
      <w:proofErr w:type="spellStart"/>
      <w:r w:rsidRPr="00CC636D">
        <w:rPr>
          <w:rFonts w:ascii="Arial" w:hAnsi="Arial" w:cs="Arial"/>
          <w:sz w:val="24"/>
          <w:szCs w:val="24"/>
        </w:rPr>
        <w:t>Bax</w:t>
      </w:r>
      <w:proofErr w:type="spellEnd"/>
      <w:r w:rsidRPr="00CC636D">
        <w:rPr>
          <w:rFonts w:ascii="Arial" w:hAnsi="Arial" w:cs="Arial"/>
          <w:sz w:val="24"/>
          <w:szCs w:val="24"/>
        </w:rPr>
        <w:t xml:space="preserve"> were detected by immunoblot. Relative levels are shown (n=3). Each </w:t>
      </w:r>
      <w:proofErr w:type="spellStart"/>
      <w:r w:rsidRPr="00CC636D">
        <w:rPr>
          <w:rFonts w:ascii="Arial" w:hAnsi="Arial" w:cs="Arial"/>
          <w:sz w:val="24"/>
          <w:szCs w:val="24"/>
        </w:rPr>
        <w:t>Bax</w:t>
      </w:r>
      <w:proofErr w:type="spellEnd"/>
      <w:r w:rsidRPr="00CC636D">
        <w:rPr>
          <w:rFonts w:ascii="Arial" w:hAnsi="Arial" w:cs="Arial"/>
          <w:sz w:val="24"/>
          <w:szCs w:val="24"/>
        </w:rPr>
        <w:t xml:space="preserve">/Bcl2 levels of hypoxia 0 h sample were set as 1. All values are presented as mean ± SD. Statistical significance was measured using the one-way ANOVA with the Bonferroni post-test. *P&lt;0.05, **P&lt;0.005.  </w:t>
      </w:r>
    </w:p>
    <w:p w:rsidR="00CC636D" w:rsidRDefault="00CC636D" w:rsidP="00CC636D">
      <w:pPr>
        <w:spacing w:line="480" w:lineRule="auto"/>
        <w:rPr>
          <w:rFonts w:ascii="Arial" w:hAnsi="Arial" w:cs="Arial"/>
          <w:sz w:val="24"/>
          <w:szCs w:val="24"/>
        </w:rPr>
      </w:pPr>
    </w:p>
    <w:p w:rsidR="00CC636D" w:rsidRPr="00CC636D" w:rsidRDefault="00BC1FDA" w:rsidP="00CC636D">
      <w:pPr>
        <w:spacing w:line="480" w:lineRule="auto"/>
        <w:rPr>
          <w:rFonts w:ascii="Arial" w:hAnsi="Arial" w:cs="Arial"/>
          <w:sz w:val="24"/>
          <w:szCs w:val="24"/>
        </w:rPr>
      </w:pPr>
      <w:r w:rsidRPr="00BC1FDA">
        <w:rPr>
          <w:rFonts w:ascii="Arial" w:hAnsi="Arial" w:cs="Arial"/>
          <w:b/>
          <w:bCs/>
          <w:sz w:val="24"/>
          <w:szCs w:val="24"/>
        </w:rPr>
        <w:t>Supplementary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CC636D" w:rsidRPr="00CC636D">
        <w:rPr>
          <w:rFonts w:ascii="Arial" w:hAnsi="Arial" w:cs="Arial"/>
          <w:b/>
          <w:bCs/>
          <w:sz w:val="24"/>
          <w:szCs w:val="24"/>
        </w:rPr>
        <w:t xml:space="preserve">Figure </w:t>
      </w:r>
      <w:r w:rsidR="00A10C0A">
        <w:rPr>
          <w:rFonts w:ascii="Arial" w:hAnsi="Arial" w:cs="Arial"/>
          <w:b/>
          <w:bCs/>
          <w:sz w:val="24"/>
          <w:szCs w:val="24"/>
        </w:rPr>
        <w:t>4</w:t>
      </w:r>
      <w:r w:rsidR="00CC636D" w:rsidRPr="00CC636D">
        <w:rPr>
          <w:rFonts w:ascii="Arial" w:hAnsi="Arial" w:cs="Arial"/>
          <w:b/>
          <w:bCs/>
          <w:sz w:val="24"/>
          <w:szCs w:val="24"/>
        </w:rPr>
        <w:t xml:space="preserve">. Pharmacological activation of FXR increased the cell viability in hypoxia-induced HK2 cells.  </w:t>
      </w:r>
    </w:p>
    <w:p w:rsidR="00CC636D" w:rsidRPr="00CC636D" w:rsidRDefault="00CC636D" w:rsidP="00CC636D">
      <w:pPr>
        <w:spacing w:line="480" w:lineRule="auto"/>
        <w:rPr>
          <w:rFonts w:ascii="Arial" w:hAnsi="Arial" w:cs="Arial"/>
          <w:sz w:val="24"/>
          <w:szCs w:val="24"/>
        </w:rPr>
      </w:pPr>
      <w:r w:rsidRPr="00CC636D">
        <w:rPr>
          <w:rFonts w:ascii="Arial" w:hAnsi="Arial" w:cs="Arial"/>
          <w:sz w:val="24"/>
          <w:szCs w:val="24"/>
        </w:rPr>
        <w:t xml:space="preserve">(A and B) After treatment with GW4064 (0.25 to 1 </w:t>
      </w:r>
      <w:proofErr w:type="spellStart"/>
      <w:r w:rsidRPr="00CC636D">
        <w:rPr>
          <w:rFonts w:ascii="Arial" w:hAnsi="Arial" w:cs="Arial"/>
          <w:sz w:val="24"/>
          <w:szCs w:val="24"/>
        </w:rPr>
        <w:t>μM</w:t>
      </w:r>
      <w:proofErr w:type="spellEnd"/>
      <w:r w:rsidRPr="00CC636D">
        <w:rPr>
          <w:rFonts w:ascii="Arial" w:hAnsi="Arial" w:cs="Arial"/>
          <w:sz w:val="24"/>
          <w:szCs w:val="24"/>
        </w:rPr>
        <w:t xml:space="preserve">) or WAY-362450 (0.5 and 1 </w:t>
      </w:r>
      <w:proofErr w:type="spellStart"/>
      <w:r w:rsidRPr="00CC636D">
        <w:rPr>
          <w:rFonts w:ascii="Arial" w:hAnsi="Arial" w:cs="Arial"/>
          <w:sz w:val="24"/>
          <w:szCs w:val="24"/>
        </w:rPr>
        <w:t>μM</w:t>
      </w:r>
      <w:proofErr w:type="spellEnd"/>
      <w:r w:rsidRPr="00CC636D">
        <w:rPr>
          <w:rFonts w:ascii="Arial" w:hAnsi="Arial" w:cs="Arial"/>
          <w:sz w:val="24"/>
          <w:szCs w:val="24"/>
        </w:rPr>
        <w:t>) for 1 h, HK2 cells were incubated with hypoxia for 6 h (A) or reoxygenation for 20 h (B) (n = 4 – 6). Cell viability was determined using the EZ-</w:t>
      </w:r>
      <w:proofErr w:type="spellStart"/>
      <w:r w:rsidRPr="00CC636D">
        <w:rPr>
          <w:rFonts w:ascii="Arial" w:hAnsi="Arial" w:cs="Arial"/>
          <w:sz w:val="24"/>
          <w:szCs w:val="24"/>
        </w:rPr>
        <w:t>CyTox</w:t>
      </w:r>
      <w:proofErr w:type="spellEnd"/>
      <w:r w:rsidRPr="00CC636D">
        <w:rPr>
          <w:rFonts w:ascii="Arial" w:hAnsi="Arial" w:cs="Arial"/>
          <w:sz w:val="24"/>
          <w:szCs w:val="24"/>
        </w:rPr>
        <w:t xml:space="preserve">. All values are presented as mean ± SD. Statistical significance was measured using the one-way ANOVA with the Bonferroni post-test. *P&lt;0.05, **P&lt;0.005. </w:t>
      </w:r>
    </w:p>
    <w:p w:rsidR="00CC636D" w:rsidRDefault="00CC636D" w:rsidP="00CC636D">
      <w:pPr>
        <w:spacing w:line="480" w:lineRule="auto"/>
        <w:rPr>
          <w:rFonts w:ascii="Arial" w:hAnsi="Arial" w:cs="Arial"/>
          <w:sz w:val="24"/>
          <w:szCs w:val="24"/>
        </w:rPr>
      </w:pPr>
    </w:p>
    <w:p w:rsidR="00CC636D" w:rsidRPr="00CC636D" w:rsidRDefault="00BC1FDA" w:rsidP="00CC636D">
      <w:pPr>
        <w:spacing w:line="480" w:lineRule="auto"/>
        <w:rPr>
          <w:rFonts w:ascii="Arial" w:hAnsi="Arial" w:cs="Arial"/>
          <w:sz w:val="24"/>
          <w:szCs w:val="24"/>
        </w:rPr>
      </w:pPr>
      <w:r w:rsidRPr="00BC1FDA">
        <w:rPr>
          <w:rFonts w:ascii="Arial" w:hAnsi="Arial" w:cs="Arial"/>
          <w:b/>
          <w:bCs/>
          <w:sz w:val="24"/>
          <w:szCs w:val="24"/>
        </w:rPr>
        <w:t>Supplementary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CC636D" w:rsidRPr="00CC636D">
        <w:rPr>
          <w:rFonts w:ascii="Arial" w:hAnsi="Arial" w:cs="Arial"/>
          <w:b/>
          <w:bCs/>
          <w:sz w:val="24"/>
          <w:szCs w:val="24"/>
        </w:rPr>
        <w:t xml:space="preserve">Figure </w:t>
      </w:r>
      <w:r w:rsidR="00A10C0A">
        <w:rPr>
          <w:rFonts w:ascii="Arial" w:hAnsi="Arial" w:cs="Arial"/>
          <w:b/>
          <w:bCs/>
          <w:sz w:val="24"/>
          <w:szCs w:val="24"/>
        </w:rPr>
        <w:t>5</w:t>
      </w:r>
      <w:r w:rsidR="00CC636D" w:rsidRPr="00CC636D">
        <w:rPr>
          <w:rFonts w:ascii="Arial" w:hAnsi="Arial" w:cs="Arial"/>
          <w:b/>
          <w:bCs/>
          <w:sz w:val="24"/>
          <w:szCs w:val="24"/>
        </w:rPr>
        <w:t xml:space="preserve">. ATG7 deficiency increases renal apoptosis. </w:t>
      </w:r>
    </w:p>
    <w:p w:rsidR="00CC636D" w:rsidRPr="00CC636D" w:rsidRDefault="00CC636D" w:rsidP="00CC636D">
      <w:pPr>
        <w:spacing w:line="480" w:lineRule="auto"/>
        <w:rPr>
          <w:rFonts w:ascii="Arial" w:hAnsi="Arial" w:cs="Arial"/>
          <w:sz w:val="24"/>
          <w:szCs w:val="24"/>
        </w:rPr>
      </w:pPr>
      <w:r w:rsidRPr="00CC636D">
        <w:rPr>
          <w:rFonts w:ascii="Arial" w:hAnsi="Arial" w:cs="Arial"/>
          <w:sz w:val="24"/>
          <w:szCs w:val="24"/>
        </w:rPr>
        <w:t xml:space="preserve">HK2 cells were transfected with siRNA for ATG7 as indicated, and 48 h later, the cells were exposed to hypoxia for 6 h or reoxygenation for 20 h. The protein levels of the indicated gene were detected by immunoblot. Relative intensity was shown. The value for </w:t>
      </w:r>
      <w:proofErr w:type="spellStart"/>
      <w:r w:rsidRPr="00CC636D">
        <w:rPr>
          <w:rFonts w:ascii="Arial" w:hAnsi="Arial" w:cs="Arial"/>
          <w:sz w:val="24"/>
          <w:szCs w:val="24"/>
        </w:rPr>
        <w:t>siControl</w:t>
      </w:r>
      <w:proofErr w:type="spellEnd"/>
      <w:r w:rsidRPr="00CC636D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CC636D">
        <w:rPr>
          <w:rFonts w:ascii="Arial" w:hAnsi="Arial" w:cs="Arial"/>
          <w:sz w:val="24"/>
          <w:szCs w:val="24"/>
        </w:rPr>
        <w:t>normoxic</w:t>
      </w:r>
      <w:proofErr w:type="spellEnd"/>
      <w:r w:rsidRPr="00CC636D">
        <w:rPr>
          <w:rFonts w:ascii="Arial" w:hAnsi="Arial" w:cs="Arial"/>
          <w:sz w:val="24"/>
          <w:szCs w:val="24"/>
        </w:rPr>
        <w:t xml:space="preserve"> is set to 1 (n=3). All values are presented as mean ± SD. Statistical significance was measured using the two-way ANOVA with the Bonferroni post-test. *P&lt;0.05, **P&lt;0.005, </w:t>
      </w:r>
      <w:r w:rsidRPr="00CC636D">
        <w:rPr>
          <w:rFonts w:ascii="Arial" w:hAnsi="Arial" w:cs="Arial"/>
          <w:sz w:val="24"/>
          <w:szCs w:val="24"/>
          <w:vertAlign w:val="superscript"/>
        </w:rPr>
        <w:t>##</w:t>
      </w:r>
      <w:r w:rsidRPr="00CC636D">
        <w:rPr>
          <w:rFonts w:ascii="Arial" w:hAnsi="Arial" w:cs="Arial"/>
          <w:sz w:val="24"/>
          <w:szCs w:val="24"/>
        </w:rPr>
        <w:t xml:space="preserve">P&lt;0.005. </w:t>
      </w:r>
    </w:p>
    <w:p w:rsidR="00CC636D" w:rsidRDefault="00CC636D" w:rsidP="00CC636D">
      <w:pPr>
        <w:spacing w:line="480" w:lineRule="auto"/>
        <w:rPr>
          <w:rFonts w:ascii="Arial" w:hAnsi="Arial" w:cs="Arial"/>
          <w:sz w:val="24"/>
          <w:szCs w:val="24"/>
        </w:rPr>
      </w:pPr>
    </w:p>
    <w:p w:rsidR="00CA311C" w:rsidRDefault="00BC1FDA" w:rsidP="00CA311C">
      <w:pPr>
        <w:spacing w:line="480" w:lineRule="auto"/>
        <w:rPr>
          <w:rFonts w:ascii="Arial" w:hAnsi="Arial" w:cs="Arial"/>
          <w:sz w:val="24"/>
          <w:szCs w:val="24"/>
        </w:rPr>
      </w:pPr>
      <w:r w:rsidRPr="00BC1FDA">
        <w:rPr>
          <w:rFonts w:ascii="Arial" w:hAnsi="Arial" w:cs="Arial"/>
          <w:b/>
          <w:bCs/>
          <w:sz w:val="24"/>
          <w:szCs w:val="24"/>
        </w:rPr>
        <w:t>Supplementary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A10C0A" w:rsidRPr="00CC636D">
        <w:rPr>
          <w:rFonts w:ascii="Arial" w:hAnsi="Arial" w:cs="Arial"/>
          <w:b/>
          <w:bCs/>
          <w:sz w:val="24"/>
          <w:szCs w:val="24"/>
        </w:rPr>
        <w:t xml:space="preserve">Figure </w:t>
      </w:r>
      <w:r w:rsidR="00CA311C">
        <w:rPr>
          <w:rFonts w:ascii="Arial" w:hAnsi="Arial" w:cs="Arial"/>
          <w:b/>
          <w:bCs/>
          <w:sz w:val="24"/>
          <w:szCs w:val="24"/>
        </w:rPr>
        <w:t>6</w:t>
      </w:r>
      <w:r w:rsidR="00A10C0A">
        <w:rPr>
          <w:rFonts w:ascii="Arial" w:hAnsi="Arial" w:cs="Arial"/>
          <w:b/>
          <w:bCs/>
          <w:sz w:val="24"/>
          <w:szCs w:val="24"/>
        </w:rPr>
        <w:t xml:space="preserve">. </w:t>
      </w:r>
      <w:r w:rsidR="00CA311C">
        <w:rPr>
          <w:rFonts w:ascii="Arial" w:hAnsi="Arial" w:cs="Arial"/>
          <w:b/>
          <w:bCs/>
          <w:sz w:val="24"/>
          <w:szCs w:val="24"/>
        </w:rPr>
        <w:t>R</w:t>
      </w:r>
      <w:r w:rsidR="00CA311C" w:rsidRPr="00A10C0A">
        <w:rPr>
          <w:rFonts w:ascii="Arial" w:hAnsi="Arial" w:cs="Arial"/>
          <w:b/>
          <w:bCs/>
          <w:sz w:val="24"/>
          <w:szCs w:val="24"/>
        </w:rPr>
        <w:t>enal dysfunction and tissue damage</w:t>
      </w:r>
      <w:r w:rsidR="00CA311C">
        <w:rPr>
          <w:rFonts w:ascii="Arial" w:hAnsi="Arial" w:cs="Arial"/>
          <w:b/>
          <w:bCs/>
          <w:sz w:val="24"/>
          <w:szCs w:val="24"/>
        </w:rPr>
        <w:t xml:space="preserve"> due to initial I/R injury were increased in both WT and FXR KO mice. </w:t>
      </w:r>
    </w:p>
    <w:p w:rsidR="00CA311C" w:rsidRPr="00CA311C" w:rsidRDefault="00CA311C" w:rsidP="00CC636D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  <w:r w:rsidRPr="00CC636D">
        <w:rPr>
          <w:rFonts w:ascii="Arial" w:hAnsi="Arial" w:cs="Arial"/>
          <w:sz w:val="24"/>
          <w:szCs w:val="24"/>
        </w:rPr>
        <w:lastRenderedPageBreak/>
        <w:t xml:space="preserve">At </w:t>
      </w:r>
      <w:r>
        <w:rPr>
          <w:rFonts w:ascii="Arial" w:hAnsi="Arial" w:cs="Arial"/>
          <w:sz w:val="24"/>
          <w:szCs w:val="24"/>
        </w:rPr>
        <w:t>48</w:t>
      </w:r>
      <w:r w:rsidRPr="00CC636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hours</w:t>
      </w:r>
      <w:r w:rsidRPr="00CC636D">
        <w:rPr>
          <w:rFonts w:ascii="Arial" w:hAnsi="Arial" w:cs="Arial"/>
          <w:sz w:val="24"/>
          <w:szCs w:val="24"/>
        </w:rPr>
        <w:t xml:space="preserve"> after I/R, kidney samples were </w:t>
      </w:r>
      <w:r w:rsidRPr="00CA311C">
        <w:rPr>
          <w:rFonts w:ascii="Arial" w:hAnsi="Arial" w:cs="Arial"/>
          <w:sz w:val="24"/>
          <w:szCs w:val="24"/>
        </w:rPr>
        <w:t>collected for measurements. (A) Blood urea nitrogen (BUN), creatinine (Cr), and neutrophil gelatinase-associated lipocalin (NGAL) levels were measured in serum (n = 5 – 7).</w:t>
      </w:r>
      <w:r>
        <w:rPr>
          <w:rFonts w:ascii="Arial" w:hAnsi="Arial" w:cs="Arial"/>
          <w:sz w:val="24"/>
          <w:szCs w:val="24"/>
        </w:rPr>
        <w:t xml:space="preserve"> (B) </w:t>
      </w:r>
      <w:r w:rsidRPr="00CC636D">
        <w:rPr>
          <w:rFonts w:ascii="Arial" w:hAnsi="Arial" w:cs="Arial"/>
          <w:sz w:val="24"/>
          <w:szCs w:val="24"/>
        </w:rPr>
        <w:t xml:space="preserve">Paraffin–embedded kidney tissue sections from sham or I/R mice were performed </w:t>
      </w:r>
      <w:r>
        <w:rPr>
          <w:rFonts w:ascii="Arial" w:hAnsi="Arial" w:cs="Arial"/>
          <w:sz w:val="24"/>
        </w:rPr>
        <w:t xml:space="preserve">hematoxylin and eosin (H&amp;E) and </w:t>
      </w:r>
      <w:r>
        <w:rPr>
          <w:rFonts w:ascii="Arial" w:eastAsia="맑은 고딕" w:hAnsi="Arial" w:cs="Arial"/>
          <w:sz w:val="24"/>
        </w:rPr>
        <w:t>periodic</w:t>
      </w:r>
      <w:r>
        <w:rPr>
          <w:rFonts w:ascii="Arial" w:hAnsi="Arial" w:cs="Arial"/>
          <w:sz w:val="24"/>
        </w:rPr>
        <w:t xml:space="preserve"> acid-Schiff (PAS)</w:t>
      </w:r>
      <w:r w:rsidRPr="00CC636D">
        <w:rPr>
          <w:rFonts w:ascii="Arial" w:hAnsi="Arial" w:cs="Arial"/>
          <w:sz w:val="24"/>
          <w:szCs w:val="24"/>
        </w:rPr>
        <w:t xml:space="preserve"> (scale bar 100 </w:t>
      </w:r>
      <w:r w:rsidRPr="00CC636D">
        <w:rPr>
          <w:rFonts w:ascii="Arial" w:hAnsi="Arial" w:cs="Arial"/>
          <w:sz w:val="24"/>
          <w:szCs w:val="24"/>
          <w:lang w:val="el-GR"/>
        </w:rPr>
        <w:t>μ</w:t>
      </w:r>
      <w:r w:rsidRPr="00CC636D">
        <w:rPr>
          <w:rFonts w:ascii="Arial" w:hAnsi="Arial" w:cs="Arial"/>
          <w:sz w:val="24"/>
          <w:szCs w:val="24"/>
        </w:rPr>
        <w:t>m).</w:t>
      </w:r>
    </w:p>
    <w:p w:rsidR="00CA311C" w:rsidRDefault="00CA311C" w:rsidP="00CC636D">
      <w:pPr>
        <w:spacing w:line="480" w:lineRule="auto"/>
        <w:rPr>
          <w:rFonts w:ascii="Arial" w:hAnsi="Arial" w:cs="Arial"/>
          <w:b/>
          <w:bCs/>
          <w:sz w:val="24"/>
          <w:szCs w:val="24"/>
        </w:rPr>
      </w:pPr>
    </w:p>
    <w:p w:rsidR="00CC636D" w:rsidRPr="00CC636D" w:rsidRDefault="00BC1FDA" w:rsidP="00CC636D">
      <w:pPr>
        <w:spacing w:line="480" w:lineRule="auto"/>
        <w:rPr>
          <w:rFonts w:ascii="Arial" w:hAnsi="Arial" w:cs="Arial"/>
          <w:sz w:val="24"/>
          <w:szCs w:val="24"/>
        </w:rPr>
      </w:pPr>
      <w:r w:rsidRPr="00BC1FDA">
        <w:rPr>
          <w:rFonts w:ascii="Arial" w:hAnsi="Arial" w:cs="Arial"/>
          <w:b/>
          <w:bCs/>
          <w:sz w:val="24"/>
          <w:szCs w:val="24"/>
        </w:rPr>
        <w:t>Supplementary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CC636D" w:rsidRPr="00CC636D">
        <w:rPr>
          <w:rFonts w:ascii="Arial" w:hAnsi="Arial" w:cs="Arial"/>
          <w:b/>
          <w:bCs/>
          <w:sz w:val="24"/>
          <w:szCs w:val="24"/>
        </w:rPr>
        <w:t xml:space="preserve">Figure </w:t>
      </w:r>
      <w:r w:rsidR="00CA311C">
        <w:rPr>
          <w:rFonts w:ascii="Arial" w:hAnsi="Arial" w:cs="Arial"/>
          <w:b/>
          <w:bCs/>
          <w:sz w:val="24"/>
          <w:szCs w:val="24"/>
        </w:rPr>
        <w:t>7</w:t>
      </w:r>
      <w:r w:rsidR="00CC636D" w:rsidRPr="00CC636D">
        <w:rPr>
          <w:rFonts w:ascii="Arial" w:hAnsi="Arial" w:cs="Arial"/>
          <w:b/>
          <w:bCs/>
          <w:sz w:val="24"/>
          <w:szCs w:val="24"/>
        </w:rPr>
        <w:t>. Loss of FXR increase</w:t>
      </w:r>
      <w:r w:rsidR="00CC636D">
        <w:rPr>
          <w:rFonts w:ascii="Arial" w:hAnsi="Arial" w:cs="Arial"/>
          <w:b/>
          <w:bCs/>
          <w:sz w:val="24"/>
          <w:szCs w:val="24"/>
        </w:rPr>
        <w:t>s</w:t>
      </w:r>
      <w:r w:rsidR="00CC636D" w:rsidRPr="00CC636D">
        <w:rPr>
          <w:rFonts w:ascii="Arial" w:hAnsi="Arial" w:cs="Arial"/>
          <w:b/>
          <w:bCs/>
          <w:sz w:val="24"/>
          <w:szCs w:val="24"/>
        </w:rPr>
        <w:t xml:space="preserve"> renal fibrosis in sham and I/R </w:t>
      </w:r>
      <w:r w:rsidR="00CC636D">
        <w:rPr>
          <w:rFonts w:ascii="Arial" w:hAnsi="Arial" w:cs="Arial"/>
          <w:b/>
          <w:bCs/>
          <w:sz w:val="24"/>
          <w:szCs w:val="24"/>
        </w:rPr>
        <w:t xml:space="preserve">mice </w:t>
      </w:r>
      <w:r w:rsidR="00CC636D" w:rsidRPr="00CC636D">
        <w:rPr>
          <w:rFonts w:ascii="Arial" w:hAnsi="Arial" w:cs="Arial"/>
          <w:b/>
          <w:bCs/>
          <w:sz w:val="24"/>
          <w:szCs w:val="24"/>
        </w:rPr>
        <w:t>model.</w:t>
      </w:r>
    </w:p>
    <w:p w:rsidR="00CC636D" w:rsidRPr="00CC636D" w:rsidRDefault="00CC636D" w:rsidP="00CC636D">
      <w:pPr>
        <w:spacing w:line="480" w:lineRule="auto"/>
        <w:rPr>
          <w:rFonts w:ascii="Arial" w:hAnsi="Arial" w:cs="Arial"/>
          <w:sz w:val="24"/>
          <w:szCs w:val="24"/>
        </w:rPr>
      </w:pPr>
      <w:bookmarkStart w:id="1" w:name="_Hlk63082091"/>
      <w:r w:rsidRPr="00CC636D">
        <w:rPr>
          <w:rFonts w:ascii="Arial" w:hAnsi="Arial" w:cs="Arial"/>
          <w:sz w:val="24"/>
          <w:szCs w:val="24"/>
        </w:rPr>
        <w:t xml:space="preserve">At 28 days after I/R, kidney samples were collected for measurements. </w:t>
      </w:r>
      <w:bookmarkEnd w:id="1"/>
      <w:r w:rsidRPr="00CC636D">
        <w:rPr>
          <w:rFonts w:ascii="Arial" w:hAnsi="Arial" w:cs="Arial"/>
          <w:sz w:val="24"/>
          <w:szCs w:val="24"/>
        </w:rPr>
        <w:t>(A) Neutrophil gelatinase-associated lipocalin (NGAL) levels were measured in serum (n = 5 – 7)</w:t>
      </w:r>
      <w:r w:rsidR="00CA311C">
        <w:rPr>
          <w:rFonts w:ascii="Arial" w:hAnsi="Arial" w:cs="Arial"/>
          <w:sz w:val="24"/>
          <w:szCs w:val="24"/>
        </w:rPr>
        <w:t xml:space="preserve">. </w:t>
      </w:r>
      <w:r w:rsidRPr="00CC636D">
        <w:rPr>
          <w:rFonts w:ascii="Arial" w:hAnsi="Arial" w:cs="Arial"/>
          <w:sz w:val="24"/>
          <w:szCs w:val="24"/>
        </w:rPr>
        <w:t xml:space="preserve">(B) Protein levels of ATG3, ATG7, Bcl2, and </w:t>
      </w:r>
      <w:proofErr w:type="spellStart"/>
      <w:r w:rsidRPr="00CC636D">
        <w:rPr>
          <w:rFonts w:ascii="Arial" w:hAnsi="Arial" w:cs="Arial"/>
          <w:sz w:val="24"/>
          <w:szCs w:val="24"/>
        </w:rPr>
        <w:t>Bax</w:t>
      </w:r>
      <w:proofErr w:type="spellEnd"/>
      <w:r w:rsidRPr="00CC636D">
        <w:rPr>
          <w:rFonts w:ascii="Arial" w:hAnsi="Arial" w:cs="Arial"/>
          <w:sz w:val="24"/>
          <w:szCs w:val="24"/>
        </w:rPr>
        <w:t xml:space="preserve"> were detected by immunoblot. Relative protein levels were shown. The values for WT-Sham group are set to 1 (n = 4). Paraffin–embedded kidney tissue sections from sham or I/R mice were performed F4/80 and Collagen IV. (scale bar 100 </w:t>
      </w:r>
      <w:r w:rsidRPr="00CC636D">
        <w:rPr>
          <w:rFonts w:ascii="Arial" w:hAnsi="Arial" w:cs="Arial"/>
          <w:sz w:val="24"/>
          <w:szCs w:val="24"/>
          <w:lang w:val="el-GR"/>
        </w:rPr>
        <w:t>μ</w:t>
      </w:r>
      <w:r w:rsidRPr="00CC636D">
        <w:rPr>
          <w:rFonts w:ascii="Arial" w:hAnsi="Arial" w:cs="Arial"/>
          <w:sz w:val="24"/>
          <w:szCs w:val="24"/>
        </w:rPr>
        <w:t xml:space="preserve">m). Computer-based morphometric analysis is shown (Right bar graph, n = 8 in each group). </w:t>
      </w:r>
    </w:p>
    <w:p w:rsidR="00CC636D" w:rsidRPr="00CC636D" w:rsidRDefault="00CC636D" w:rsidP="00CC636D">
      <w:pPr>
        <w:spacing w:line="480" w:lineRule="auto"/>
        <w:rPr>
          <w:rFonts w:ascii="Arial" w:hAnsi="Arial" w:cs="Arial"/>
          <w:sz w:val="24"/>
          <w:szCs w:val="24"/>
        </w:rPr>
      </w:pPr>
    </w:p>
    <w:sectPr w:rsidR="00CC636D" w:rsidRPr="00CC636D" w:rsidSect="00CC636D"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96D5D" w:rsidRDefault="00B96D5D" w:rsidP="00DC6820">
      <w:pPr>
        <w:spacing w:after="0" w:line="240" w:lineRule="auto"/>
      </w:pPr>
      <w:r>
        <w:separator/>
      </w:r>
    </w:p>
  </w:endnote>
  <w:endnote w:type="continuationSeparator" w:id="0">
    <w:p w:rsidR="00B96D5D" w:rsidRDefault="00B96D5D" w:rsidP="00DC68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96D5D" w:rsidRDefault="00B96D5D" w:rsidP="00DC6820">
      <w:pPr>
        <w:spacing w:after="0" w:line="240" w:lineRule="auto"/>
      </w:pPr>
      <w:r>
        <w:separator/>
      </w:r>
    </w:p>
  </w:footnote>
  <w:footnote w:type="continuationSeparator" w:id="0">
    <w:p w:rsidR="00B96D5D" w:rsidRDefault="00B96D5D" w:rsidP="00DC68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36D"/>
    <w:rsid w:val="00015EB2"/>
    <w:rsid w:val="00083040"/>
    <w:rsid w:val="000D6873"/>
    <w:rsid w:val="00101C35"/>
    <w:rsid w:val="00163417"/>
    <w:rsid w:val="00A10C0A"/>
    <w:rsid w:val="00A45595"/>
    <w:rsid w:val="00B96D5D"/>
    <w:rsid w:val="00BC1FDA"/>
    <w:rsid w:val="00CA311C"/>
    <w:rsid w:val="00CC636D"/>
    <w:rsid w:val="00CD4C90"/>
    <w:rsid w:val="00DC6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113D287-A5A4-4639-AD6A-0D6454880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C682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DC6820"/>
  </w:style>
  <w:style w:type="paragraph" w:styleId="a4">
    <w:name w:val="footer"/>
    <w:basedOn w:val="a"/>
    <w:link w:val="Char0"/>
    <w:uiPriority w:val="99"/>
    <w:unhideWhenUsed/>
    <w:rsid w:val="00DC682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DC68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833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DHK</dc:creator>
  <cp:keywords/>
  <dc:description/>
  <cp:lastModifiedBy>DHK</cp:lastModifiedBy>
  <cp:revision>2</cp:revision>
  <dcterms:created xsi:type="dcterms:W3CDTF">2021-02-24T05:44:00Z</dcterms:created>
  <dcterms:modified xsi:type="dcterms:W3CDTF">2021-02-24T05:44:00Z</dcterms:modified>
</cp:coreProperties>
</file>