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740E3" w14:textId="5D01F55D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Supplementary information</w:t>
      </w:r>
    </w:p>
    <w:p w14:paraId="6790FE9B" w14:textId="77777777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Materials and Methods</w:t>
      </w:r>
    </w:p>
    <w:p w14:paraId="40847EB7" w14:textId="2F2EDC02" w:rsidR="00733D59" w:rsidRPr="00FF61A2" w:rsidRDefault="00733D59" w:rsidP="00733D59">
      <w:pPr>
        <w:spacing w:line="480" w:lineRule="auto"/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  <w:t xml:space="preserve">Immunomodulatory properties of </w:t>
      </w:r>
      <w:proofErr w:type="spellStart"/>
      <w:r w:rsidRPr="00FF61A2"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  <w:t xml:space="preserve"> in vitro (PBMC proliferation assay)</w:t>
      </w:r>
    </w:p>
    <w:p w14:paraId="35FDF65E" w14:textId="7C77C02C" w:rsidR="00733D59" w:rsidRPr="00FF61A2" w:rsidRDefault="00733D59" w:rsidP="007930BE">
      <w:pPr>
        <w:spacing w:line="480" w:lineRule="auto"/>
        <w:ind w:firstLineChars="200" w:firstLine="440"/>
        <w:rPr>
          <w:rFonts w:ascii="Arial" w:eastAsia="微软雅黑" w:hAnsi="Arial" w:cs="Arial"/>
          <w:color w:val="333333"/>
          <w:sz w:val="22"/>
          <w:shd w:val="clear" w:color="auto" w:fill="FFFFFF"/>
        </w:rPr>
      </w:pP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 Human PBMCs were isolated from fresh whole blood using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Ficoll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(GE Healthcare) with informed consent from donors. PBMC proliferation was determined by the effect of MSC to suppress anti-CD3/CD28-induced proliferation of PBMCs in a non-contact co-culture. Non-contact co-cultures of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and PBMCs were prepared using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transwell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culture insert (0.4</w:t>
      </w:r>
      <w:r w:rsidR="00B85AD6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µ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m,</w:t>
      </w:r>
      <w:r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 xml:space="preserve"> 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corning).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were seeded into 24-well plate at a concentration of 3*10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  <w:vertAlign w:val="superscript"/>
        </w:rPr>
        <w:t>4</w:t>
      </w:r>
      <w:r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 xml:space="preserve"> cells per well to achieve the final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</w:t>
      </w:r>
      <w:proofErr w:type="spellStart"/>
      <w:r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>PBMC: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</w:t>
      </w:r>
      <w:r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>MSC</w:t>
      </w:r>
      <w:proofErr w:type="spellEnd"/>
      <w:r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 xml:space="preserve"> ratio 10:1.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were cultured for 24 </w:t>
      </w:r>
      <w:r w:rsidR="00470046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hours (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hrs</w:t>
      </w:r>
      <w:proofErr w:type="spellEnd"/>
      <w:r w:rsidR="00470046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)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before the co-culture experiment. PBMCs were activated by anti-CD3 and anti-CD28 for 24</w:t>
      </w:r>
      <w:r w:rsidR="004400B7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hrs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and then labeled with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CellTrace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™ Violet Cell Proliferation Kit (</w:t>
      </w:r>
      <w:r w:rsidR="006D4758"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>I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nvitrogen).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Transwell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inserts with 3*10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  <w:vertAlign w:val="superscript"/>
        </w:rPr>
        <w:t>5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PBMC</w:t>
      </w:r>
      <w:r w:rsidR="004733EA" w:rsidRPr="00FF61A2">
        <w:rPr>
          <w:rFonts w:ascii="Arial" w:eastAsia="微软雅黑" w:hAnsi="Arial" w:cs="Arial" w:hint="eastAsia"/>
          <w:color w:val="333333"/>
          <w:sz w:val="22"/>
          <w:shd w:val="clear" w:color="auto" w:fill="FFFFFF"/>
        </w:rPr>
        <w:t>s</w:t>
      </w:r>
      <w:r w:rsidR="004400B7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per insert in 200 µl of FBS-supplemented RPMI-1640 culture medium were placed in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-containing wells. After 5 days of co-culture, the proliferation of PBMC</w:t>
      </w:r>
      <w:r w:rsidR="004733EA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s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was assessed by a flow cytometer (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FACScan</w:t>
      </w:r>
      <w:proofErr w:type="spellEnd"/>
      <w:r w:rsidR="00B85AD6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, 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BD Biosciences) and data were analyzed using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FlowJo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7.6.1 software. Activated T cells alone without </w:t>
      </w:r>
      <w:proofErr w:type="spellStart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were used as a positive control.</w:t>
      </w:r>
    </w:p>
    <w:p w14:paraId="5DFB914A" w14:textId="77777777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 xml:space="preserve">Immunocytochemistry </w:t>
      </w:r>
    </w:p>
    <w:p w14:paraId="1701BDCB" w14:textId="4245A874" w:rsidR="00733D59" w:rsidRPr="00FF61A2" w:rsidRDefault="00733D59" w:rsidP="007930BE">
      <w:pPr>
        <w:spacing w:line="480" w:lineRule="auto"/>
        <w:ind w:firstLineChars="200" w:firstLine="440"/>
        <w:rPr>
          <w:rFonts w:ascii="Arial" w:eastAsia="Arial Unicode MS" w:hAnsi="Arial" w:cs="Arial"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 For immunocytochemistry assay, we placed coverslips in culture well before seeding cells into the 24-well plate. After another 24-hour of culturing, cells were washed with PBS twice and fixed with 4% paraformaldehyde (PFA) for 20 minutes at room temperature. After this, cells were permeabilized with 0.1% Triton X-100 in PBS and blocked with 3% donkey serum in PBS. After incubation with the primary antibody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lastRenderedPageBreak/>
        <w:t>anti-</w:t>
      </w:r>
      <w:proofErr w:type="spellStart"/>
      <w:r w:rsidR="00470046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Nestin</w:t>
      </w:r>
      <w:proofErr w:type="spellEnd"/>
      <w:r w:rsidR="00470046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(1:1000</w:t>
      </w:r>
      <w:r w:rsidR="00F23323" w:rsidRPr="00FF61A2">
        <w:rPr>
          <w:rFonts w:ascii="宋体" w:eastAsia="宋体" w:hAnsi="宋体" w:cs="宋体"/>
          <w:color w:val="333333"/>
          <w:sz w:val="22"/>
          <w:shd w:val="clear" w:color="auto" w:fill="FFFFFF"/>
        </w:rPr>
        <w:t>,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</w:t>
      </w:r>
      <w:r w:rsidR="00DE3F6A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MAB5326, Abcam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) at 4°C overnight, cells were then incubated with 568 Alexa Fluor-conjugated secondary antibodies (1:1000, </w:t>
      </w:r>
      <w:r w:rsidR="00FF1284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A10037,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Invitrogen) for 1 </w:t>
      </w:r>
      <w:proofErr w:type="spellStart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h</w:t>
      </w:r>
      <w:r w:rsidR="004733EA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r</w:t>
      </w:r>
      <w:proofErr w:type="spellEnd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at room temperature. Finally, slides were mounted in </w:t>
      </w:r>
      <w:proofErr w:type="spellStart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Fluoromount</w:t>
      </w:r>
      <w:proofErr w:type="spellEnd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G (</w:t>
      </w:r>
      <w:proofErr w:type="spellStart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SouthernBiotech</w:t>
      </w:r>
      <w:proofErr w:type="spellEnd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,</w:t>
      </w:r>
      <w:r w:rsidR="005E286C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0100-01) and visualized by fluorescence microscopy.</w:t>
      </w:r>
    </w:p>
    <w:p w14:paraId="3F4B0155" w14:textId="21C951A5" w:rsidR="00733D59" w:rsidRPr="00FF61A2" w:rsidRDefault="00733D59" w:rsidP="00733D59">
      <w:pPr>
        <w:autoSpaceDE w:val="0"/>
        <w:autoSpaceDN w:val="0"/>
        <w:adjustRightInd w:val="0"/>
        <w:spacing w:line="480" w:lineRule="auto"/>
        <w:jc w:val="left"/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  <w:t xml:space="preserve">Spinal cord injury </w:t>
      </w:r>
      <w:r w:rsidR="004733EA" w:rsidRPr="00FF61A2"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  <w:t xml:space="preserve">(SCI) </w:t>
      </w:r>
      <w:r w:rsidRPr="00FF61A2">
        <w:rPr>
          <w:rFonts w:ascii="Arial" w:eastAsia="微软雅黑" w:hAnsi="Arial" w:cs="Arial"/>
          <w:b/>
          <w:color w:val="333333"/>
          <w:sz w:val="22"/>
          <w:shd w:val="clear" w:color="auto" w:fill="FFFFFF"/>
        </w:rPr>
        <w:t>model</w:t>
      </w:r>
    </w:p>
    <w:p w14:paraId="3B7EEF00" w14:textId="5DE7AD6C" w:rsidR="00733D59" w:rsidRPr="00FF61A2" w:rsidRDefault="004733EA" w:rsidP="007930BE">
      <w:pPr>
        <w:autoSpaceDE w:val="0"/>
        <w:autoSpaceDN w:val="0"/>
        <w:adjustRightInd w:val="0"/>
        <w:spacing w:line="480" w:lineRule="auto"/>
        <w:ind w:firstLineChars="200" w:firstLine="440"/>
        <w:rPr>
          <w:rFonts w:ascii="Arial" w:eastAsia="微软雅黑" w:hAnsi="Arial" w:cs="Arial"/>
          <w:color w:val="333333"/>
          <w:sz w:val="22"/>
          <w:shd w:val="clear" w:color="auto" w:fill="FFFFFF"/>
        </w:rPr>
      </w:pP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C57BL/6 </w:t>
      </w:r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female mice, weighed about 20-25g were subjected to spinal cord crush injury with rush time being 3 seconds. 3 days after SCI, the animals were injected with control vehicle, 1 million </w:t>
      </w:r>
      <w:proofErr w:type="spellStart"/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/animal, through tail veins. </w:t>
      </w:r>
      <w:proofErr w:type="spellStart"/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HuMSC</w:t>
      </w:r>
      <w:proofErr w:type="spellEnd"/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from three different donors with different 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suppressive indices (</w:t>
      </w:r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SI</w:t>
      </w:r>
      <w:r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>)</w:t>
      </w:r>
      <w:r w:rsidR="00733D59" w:rsidRPr="00FF61A2">
        <w:rPr>
          <w:rFonts w:ascii="Arial" w:eastAsia="微软雅黑" w:hAnsi="Arial" w:cs="Arial"/>
          <w:color w:val="333333"/>
          <w:sz w:val="22"/>
          <w:shd w:val="clear" w:color="auto" w:fill="FFFFFF"/>
        </w:rPr>
        <w:t xml:space="preserve"> were examined. BMS scoring of animal walking behavior was performed by observers blinded to treatment, for a period of 6 weeks.</w:t>
      </w:r>
    </w:p>
    <w:p w14:paraId="0FA393AB" w14:textId="29AEB752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color w:val="333333"/>
          <w:sz w:val="22"/>
          <w:shd w:val="clear" w:color="auto" w:fill="FFFFFF"/>
        </w:rPr>
      </w:pPr>
    </w:p>
    <w:p w14:paraId="2EBB854E" w14:textId="7CCDF0AA" w:rsidR="004760B7" w:rsidRPr="00FF61A2" w:rsidRDefault="004760B7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 w:hint="eastAsia"/>
          <w:b/>
          <w:color w:val="333333"/>
          <w:sz w:val="22"/>
          <w:shd w:val="clear" w:color="auto" w:fill="FFFFFF"/>
        </w:rPr>
        <w:t>Table</w:t>
      </w: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 xml:space="preserve"> </w:t>
      </w:r>
      <w:r w:rsidRPr="00FF61A2">
        <w:rPr>
          <w:rFonts w:ascii="Arial" w:eastAsia="Arial Unicode MS" w:hAnsi="Arial" w:cs="Arial" w:hint="eastAsia"/>
          <w:b/>
          <w:color w:val="333333"/>
          <w:sz w:val="22"/>
          <w:shd w:val="clear" w:color="auto" w:fill="FFFFFF"/>
        </w:rPr>
        <w:t>S</w:t>
      </w: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1. Primers used in this study.</w:t>
      </w:r>
    </w:p>
    <w:tbl>
      <w:tblPr>
        <w:tblW w:w="853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724"/>
        <w:gridCol w:w="5811"/>
      </w:tblGrid>
      <w:tr w:rsidR="004760B7" w:rsidRPr="00FF61A2" w14:paraId="0FB3E1F6" w14:textId="77777777" w:rsidTr="007D4F06">
        <w:trPr>
          <w:trHeight w:val="250"/>
        </w:trPr>
        <w:tc>
          <w:tcPr>
            <w:tcW w:w="2724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02D9A7E8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proofErr w:type="spellStart"/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primer_name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730B3317" w14:textId="0F23A6FD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primer</w:t>
            </w:r>
            <w:r w:rsidR="000F60A9"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</w:t>
            </w: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(5'-3')</w:t>
            </w:r>
          </w:p>
        </w:tc>
      </w:tr>
      <w:tr w:rsidR="004760B7" w:rsidRPr="00FF61A2" w14:paraId="425689D9" w14:textId="77777777" w:rsidTr="007D4F06">
        <w:trPr>
          <w:trHeight w:val="250"/>
        </w:trPr>
        <w:tc>
          <w:tcPr>
            <w:tcW w:w="2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F05471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Human-IDO1-F</w:t>
            </w:r>
          </w:p>
        </w:tc>
        <w:tc>
          <w:tcPr>
            <w:tcW w:w="58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E41DC2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GCCCTTCAAGTGTTTCACCAA</w:t>
            </w:r>
          </w:p>
        </w:tc>
      </w:tr>
      <w:tr w:rsidR="004760B7" w:rsidRPr="00FF61A2" w14:paraId="7166A22C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CF329AB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Human-IDO1-R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79244CF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CCAGCCAGACAAATATATGCGA</w:t>
            </w:r>
          </w:p>
        </w:tc>
      </w:tr>
      <w:tr w:rsidR="004760B7" w:rsidRPr="00FF61A2" w14:paraId="738333C0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9685E2F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Human-CXCL9-F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03F1EFA5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GGTTCTGATTGGAGTGCAAGGA</w:t>
            </w:r>
          </w:p>
        </w:tc>
      </w:tr>
      <w:tr w:rsidR="004760B7" w:rsidRPr="00FF61A2" w14:paraId="10E4034C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B655067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Human-CXCL9-R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48CA3870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GGATAGTCCCTTGGTTGGTGCT</w:t>
            </w:r>
          </w:p>
        </w:tc>
      </w:tr>
      <w:tr w:rsidR="004760B7" w:rsidRPr="00FF61A2" w14:paraId="19803FF7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165F2F96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Human-IL6-F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5CB15113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ACTCACCTCTTCAGAACGAATTG</w:t>
            </w:r>
          </w:p>
        </w:tc>
      </w:tr>
      <w:tr w:rsidR="004760B7" w:rsidRPr="00FF61A2" w14:paraId="0A430181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68229615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Human-IL6-R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11E49C0B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CCATCTTTGGAAGGTTCAGGTTG</w:t>
            </w:r>
          </w:p>
        </w:tc>
      </w:tr>
      <w:tr w:rsidR="004760B7" w:rsidRPr="00FF61A2" w14:paraId="65B14437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479D6B7C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Human-GAPDH-F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7D3141AB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AACCATGAGAAGTATGACAACAGC</w:t>
            </w:r>
          </w:p>
        </w:tc>
      </w:tr>
      <w:tr w:rsidR="004760B7" w:rsidRPr="00FF61A2" w14:paraId="57A882C4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5C92DF00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Human-GAPDH-R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0981E7DB" w14:textId="2209A19E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CATGTGGGGCCATGAGGTCCACCAC</w:t>
            </w:r>
          </w:p>
        </w:tc>
      </w:tr>
      <w:tr w:rsidR="004760B7" w:rsidRPr="00FF61A2" w14:paraId="1FEFC68B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76AD7A9B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Mouse-TNFα-F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7845919A" w14:textId="3EEC82A3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GACCCTCACACTCAGATCATCTTCT</w:t>
            </w:r>
          </w:p>
        </w:tc>
      </w:tr>
      <w:tr w:rsidR="004760B7" w:rsidRPr="00FF61A2" w14:paraId="1AD0A9D6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4CA0973D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Mouse-TNFα-R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47D6E9B5" w14:textId="7AB7550F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CCTCCACTTGGTGGTTTGCT</w:t>
            </w:r>
          </w:p>
        </w:tc>
      </w:tr>
      <w:tr w:rsidR="004760B7" w:rsidRPr="00FF61A2" w14:paraId="1E2612FC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right w:val="nil"/>
            </w:tcBorders>
          </w:tcPr>
          <w:p w14:paraId="52102B7E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Mouse-GAPDH-F</w:t>
            </w: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</w:tcPr>
          <w:p w14:paraId="516155D1" w14:textId="0D08B020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GTATGACTCCACTCACGGCAAA</w:t>
            </w:r>
          </w:p>
        </w:tc>
      </w:tr>
      <w:tr w:rsidR="004760B7" w:rsidRPr="00FF61A2" w14:paraId="6E2E9C41" w14:textId="77777777" w:rsidTr="007D4F06">
        <w:trPr>
          <w:trHeight w:val="250"/>
        </w:trPr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B32224" w14:textId="77777777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Mouse-GAPDH-R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319BB1" w14:textId="46085C83" w:rsidR="004760B7" w:rsidRPr="00FF61A2" w:rsidRDefault="004760B7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FF61A2">
              <w:rPr>
                <w:rFonts w:ascii="Arial" w:eastAsia="等线" w:hAnsi="Arial" w:cs="Arial"/>
                <w:color w:val="000000"/>
                <w:kern w:val="0"/>
                <w:sz w:val="22"/>
              </w:rPr>
              <w:t>GGTCTCGCTCCTGGAAGATG</w:t>
            </w:r>
          </w:p>
        </w:tc>
      </w:tr>
    </w:tbl>
    <w:p w14:paraId="3327B6D0" w14:textId="6180E981" w:rsidR="00F70075" w:rsidRPr="00FF61A2" w:rsidRDefault="00F70075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 xml:space="preserve">Table S2. </w:t>
      </w:r>
      <w:r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t>Sample information of MSCs.</w:t>
      </w:r>
    </w:p>
    <w:p w14:paraId="3DA2BFF1" w14:textId="27901FA7" w:rsidR="00E36F81" w:rsidRPr="00FF61A2" w:rsidRDefault="00E36F81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Table S</w:t>
      </w:r>
      <w:r w:rsidR="00F70075"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3</w:t>
      </w: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 xml:space="preserve">. </w:t>
      </w:r>
      <w:r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t>BV2</w:t>
      </w:r>
      <w:r w:rsidR="00DE199A"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t>-</w:t>
      </w:r>
      <w:r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t>inhibition correlated genes and GO enrichment analysis.</w:t>
      </w:r>
    </w:p>
    <w:p w14:paraId="057AAD83" w14:textId="0145539F" w:rsidR="00E36F81" w:rsidRPr="00FF61A2" w:rsidRDefault="00E36F81" w:rsidP="00733D59">
      <w:pPr>
        <w:spacing w:line="480" w:lineRule="auto"/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Table S</w:t>
      </w:r>
      <w:r w:rsidR="00F70075"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4</w:t>
      </w: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 xml:space="preserve">. </w:t>
      </w:r>
      <w:r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t xml:space="preserve">Gene differential expression and GO enrichment analysis of 2F response </w:t>
      </w:r>
      <w:r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lastRenderedPageBreak/>
        <w:t>genes.</w:t>
      </w:r>
    </w:p>
    <w:p w14:paraId="69051C00" w14:textId="38794137" w:rsidR="00E36F81" w:rsidRPr="00FF61A2" w:rsidRDefault="00E36F81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Table S</w:t>
      </w:r>
      <w:r w:rsidR="00F70075"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5</w:t>
      </w: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 xml:space="preserve">. </w:t>
      </w:r>
      <w:r w:rsidRPr="00FF61A2">
        <w:rPr>
          <w:rFonts w:ascii="Arial" w:eastAsia="Arial Unicode MS" w:hAnsi="Arial" w:cs="Arial"/>
          <w:bCs/>
          <w:color w:val="333333"/>
          <w:sz w:val="22"/>
          <w:shd w:val="clear" w:color="auto" w:fill="FFFFFF"/>
        </w:rPr>
        <w:t>GSVA analysis of selected functions.</w:t>
      </w:r>
    </w:p>
    <w:p w14:paraId="1164B13C" w14:textId="77777777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Figure Legend</w:t>
      </w:r>
    </w:p>
    <w:p w14:paraId="5EF0016B" w14:textId="30169D1A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Figure S1.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Transcriptomic analyses revealed that differentially expressed genes from human </w:t>
      </w:r>
      <w:r w:rsidR="00B878D2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passage 4-6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MSCs derived from different tissue sources (umbilical cord, fetal, adult bone marrow, adult adipose </w:t>
      </w:r>
      <w:r w:rsidR="00361BA8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tissue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) were involved in important biological processes including cell adhesion, cell proliferation, and etc.</w:t>
      </w:r>
    </w:p>
    <w:p w14:paraId="38734FAC" w14:textId="4E8BEF1E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color w:val="333333"/>
          <w:sz w:val="22"/>
          <w:shd w:val="clear" w:color="auto" w:fill="FFFFFF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Figure S2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. </w:t>
      </w:r>
      <w:r w:rsidR="000F60A9" w:rsidRPr="00FF61A2">
        <w:rPr>
          <w:rFonts w:ascii="宋体" w:eastAsia="宋体" w:hAnsi="宋体" w:cs="宋体"/>
          <w:color w:val="333333"/>
          <w:sz w:val="22"/>
          <w:shd w:val="clear" w:color="auto" w:fill="FFFFFF"/>
        </w:rPr>
        <w:t>(</w:t>
      </w:r>
      <w:r w:rsidR="000F60A9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A)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Different </w:t>
      </w:r>
      <w:proofErr w:type="spellStart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clones from the same donor demonstrated heterogeneity in that one clone </w:t>
      </w:r>
      <w:r w:rsidR="004733EA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was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positive for </w:t>
      </w:r>
      <w:proofErr w:type="spellStart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Nestin</w:t>
      </w:r>
      <w:proofErr w:type="spellEnd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and the other </w:t>
      </w:r>
      <w:r w:rsidR="004733EA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was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negative. </w:t>
      </w:r>
      <w:r w:rsidR="000F60A9"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(B) 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These two clones demonstrated different efficacies in inhibiting human PBMC proliferations using T-cell proliferation assays. Left panel, negative control, middle panel, strong inhibition from CFU-13, and right panel, weak or almost no inhibition from CFU-15.</w:t>
      </w:r>
    </w:p>
    <w:p w14:paraId="3AC43F3E" w14:textId="77777777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sz w:val="22"/>
        </w:rPr>
      </w:pPr>
      <w:r w:rsidRPr="00FF61A2">
        <w:rPr>
          <w:rFonts w:ascii="Arial" w:eastAsia="Arial Unicode MS" w:hAnsi="Arial" w:cs="Arial"/>
          <w:b/>
          <w:color w:val="333333"/>
          <w:sz w:val="22"/>
          <w:shd w:val="clear" w:color="auto" w:fill="FFFFFF"/>
        </w:rPr>
        <w:t>Figure S3</w:t>
      </w:r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. Different </w:t>
      </w:r>
      <w:proofErr w:type="spellStart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>huMSC</w:t>
      </w:r>
      <w:proofErr w:type="spellEnd"/>
      <w:r w:rsidRPr="00FF61A2">
        <w:rPr>
          <w:rFonts w:ascii="Arial" w:eastAsia="Arial Unicode MS" w:hAnsi="Arial" w:cs="Arial"/>
          <w:color w:val="333333"/>
          <w:sz w:val="22"/>
          <w:shd w:val="clear" w:color="auto" w:fill="FFFFFF"/>
        </w:rPr>
        <w:t xml:space="preserve"> lines (A, SI=0.67; B, SI=0.52; C, SI=0.26) displayed variations in efficacies of treating spinal cord crush injury in mouse model. BMS scoring was used to evaluate motor behaviors of SCI mice in different groups. A cell line, but not B or C lines, was efficacious in improving animals motor behavior after SCI.</w:t>
      </w:r>
    </w:p>
    <w:p w14:paraId="15BB0B7D" w14:textId="77777777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sz w:val="22"/>
        </w:rPr>
      </w:pPr>
      <w:r w:rsidRPr="00FF61A2">
        <w:rPr>
          <w:rFonts w:ascii="Arial" w:eastAsia="Arial Unicode MS" w:hAnsi="Arial" w:cs="Arial"/>
          <w:b/>
          <w:sz w:val="22"/>
        </w:rPr>
        <w:t>Figure S4</w:t>
      </w:r>
      <w:r w:rsidRPr="00FF61A2">
        <w:rPr>
          <w:rFonts w:ascii="Arial" w:eastAsia="Arial Unicode MS" w:hAnsi="Arial" w:cs="Arial"/>
          <w:sz w:val="22"/>
        </w:rPr>
        <w:t xml:space="preserve">. Semantic similarity network computation among GO terms enriched in genes that were positively correlated with BV2 inhibition capacity of </w:t>
      </w:r>
      <w:proofErr w:type="spellStart"/>
      <w:r w:rsidRPr="00FF61A2">
        <w:rPr>
          <w:rFonts w:ascii="Arial" w:eastAsia="Arial Unicode MS" w:hAnsi="Arial" w:cs="Arial"/>
          <w:sz w:val="22"/>
        </w:rPr>
        <w:t>huMSCs</w:t>
      </w:r>
      <w:proofErr w:type="spellEnd"/>
      <w:r w:rsidRPr="00FF61A2">
        <w:rPr>
          <w:rFonts w:ascii="Arial" w:eastAsia="Arial Unicode MS" w:hAnsi="Arial" w:cs="Arial"/>
          <w:sz w:val="22"/>
        </w:rPr>
        <w:t>.</w:t>
      </w:r>
    </w:p>
    <w:p w14:paraId="43B46558" w14:textId="77777777" w:rsidR="00733D59" w:rsidRPr="00FF61A2" w:rsidRDefault="00733D59" w:rsidP="00733D59">
      <w:pPr>
        <w:spacing w:line="480" w:lineRule="auto"/>
        <w:rPr>
          <w:rFonts w:ascii="Arial" w:eastAsia="Arial Unicode MS" w:hAnsi="Arial" w:cs="Arial"/>
          <w:sz w:val="22"/>
        </w:rPr>
      </w:pPr>
      <w:r w:rsidRPr="00FF61A2">
        <w:rPr>
          <w:rFonts w:ascii="Arial" w:eastAsia="Arial Unicode MS" w:hAnsi="Arial" w:cs="Arial"/>
          <w:b/>
          <w:sz w:val="22"/>
        </w:rPr>
        <w:t>Figure S5</w:t>
      </w:r>
      <w:r w:rsidRPr="00FF61A2">
        <w:rPr>
          <w:rFonts w:ascii="Arial" w:eastAsia="Arial Unicode MS" w:hAnsi="Arial" w:cs="Arial"/>
          <w:sz w:val="22"/>
        </w:rPr>
        <w:t xml:space="preserve">. Semantic similarity network computation among GO terms enriched in genes that were up-regulated in </w:t>
      </w:r>
      <w:proofErr w:type="spellStart"/>
      <w:r w:rsidRPr="00FF61A2">
        <w:rPr>
          <w:rFonts w:ascii="Arial" w:eastAsia="Arial Unicode MS" w:hAnsi="Arial" w:cs="Arial"/>
          <w:sz w:val="22"/>
        </w:rPr>
        <w:t>huMSCs</w:t>
      </w:r>
      <w:proofErr w:type="spellEnd"/>
      <w:r w:rsidRPr="00FF61A2">
        <w:rPr>
          <w:rFonts w:ascii="Arial" w:eastAsia="Arial Unicode MS" w:hAnsi="Arial" w:cs="Arial"/>
          <w:sz w:val="22"/>
        </w:rPr>
        <w:t xml:space="preserve"> by 2-factor stimulation.</w:t>
      </w:r>
    </w:p>
    <w:p w14:paraId="7AA0BDE0" w14:textId="77777777" w:rsidR="00733D59" w:rsidRPr="00F11F39" w:rsidRDefault="00733D59" w:rsidP="00733D59">
      <w:pPr>
        <w:spacing w:line="480" w:lineRule="auto"/>
        <w:rPr>
          <w:rFonts w:ascii="Arial" w:eastAsia="Arial Unicode MS" w:hAnsi="Arial" w:cs="Arial"/>
          <w:sz w:val="22"/>
        </w:rPr>
      </w:pPr>
      <w:r w:rsidRPr="00FF61A2">
        <w:rPr>
          <w:rFonts w:ascii="Arial" w:eastAsia="Arial Unicode MS" w:hAnsi="Arial" w:cs="Arial"/>
          <w:b/>
          <w:sz w:val="22"/>
        </w:rPr>
        <w:t>Figure S6</w:t>
      </w:r>
      <w:r w:rsidRPr="00FF61A2">
        <w:rPr>
          <w:rFonts w:ascii="Arial" w:eastAsia="Arial Unicode MS" w:hAnsi="Arial" w:cs="Arial"/>
          <w:sz w:val="22"/>
        </w:rPr>
        <w:t xml:space="preserve">. Semantic similarity network computation among GO terms enriched in </w:t>
      </w:r>
      <w:r w:rsidRPr="00FF61A2">
        <w:rPr>
          <w:rFonts w:ascii="Arial" w:eastAsia="Arial Unicode MS" w:hAnsi="Arial" w:cs="Arial"/>
          <w:sz w:val="22"/>
        </w:rPr>
        <w:lastRenderedPageBreak/>
        <w:t xml:space="preserve">genes that were down-regulated in </w:t>
      </w:r>
      <w:proofErr w:type="spellStart"/>
      <w:r w:rsidRPr="00FF61A2">
        <w:rPr>
          <w:rFonts w:ascii="Arial" w:eastAsia="Arial Unicode MS" w:hAnsi="Arial" w:cs="Arial"/>
          <w:sz w:val="22"/>
        </w:rPr>
        <w:t>huMSCs</w:t>
      </w:r>
      <w:proofErr w:type="spellEnd"/>
      <w:r w:rsidRPr="00FF61A2">
        <w:rPr>
          <w:rFonts w:ascii="Arial" w:eastAsia="Arial Unicode MS" w:hAnsi="Arial" w:cs="Arial"/>
          <w:sz w:val="22"/>
        </w:rPr>
        <w:t xml:space="preserve"> by 2-factor stimulation.</w:t>
      </w:r>
    </w:p>
    <w:p w14:paraId="66197E4C" w14:textId="77777777" w:rsidR="00733D59" w:rsidRPr="00733D59" w:rsidRDefault="00733D59"/>
    <w:sectPr w:rsidR="00733D59" w:rsidRPr="00733D59" w:rsidSect="008D496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3AE33" w14:textId="77777777" w:rsidR="004959CD" w:rsidRDefault="004959CD" w:rsidP="005E286C">
      <w:r>
        <w:separator/>
      </w:r>
    </w:p>
  </w:endnote>
  <w:endnote w:type="continuationSeparator" w:id="0">
    <w:p w14:paraId="5639B8BC" w14:textId="77777777" w:rsidR="004959CD" w:rsidRDefault="004959CD" w:rsidP="005E286C">
      <w:r>
        <w:continuationSeparator/>
      </w:r>
    </w:p>
  </w:endnote>
  <w:endnote w:type="continuationNotice" w:id="1">
    <w:p w14:paraId="2B39F188" w14:textId="77777777" w:rsidR="004959CD" w:rsidRDefault="00495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E87A5" w14:textId="77777777" w:rsidR="004959CD" w:rsidRDefault="004959CD" w:rsidP="005E286C">
      <w:r>
        <w:separator/>
      </w:r>
    </w:p>
  </w:footnote>
  <w:footnote w:type="continuationSeparator" w:id="0">
    <w:p w14:paraId="381E897A" w14:textId="77777777" w:rsidR="004959CD" w:rsidRDefault="004959CD" w:rsidP="005E286C">
      <w:r>
        <w:continuationSeparator/>
      </w:r>
    </w:p>
  </w:footnote>
  <w:footnote w:type="continuationNotice" w:id="1">
    <w:p w14:paraId="627F3040" w14:textId="77777777" w:rsidR="004959CD" w:rsidRDefault="004959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59"/>
    <w:rsid w:val="00011E9B"/>
    <w:rsid w:val="000C0330"/>
    <w:rsid w:val="000F60A9"/>
    <w:rsid w:val="00122FFE"/>
    <w:rsid w:val="001939F8"/>
    <w:rsid w:val="001A796D"/>
    <w:rsid w:val="001C7318"/>
    <w:rsid w:val="002550E7"/>
    <w:rsid w:val="002A3C90"/>
    <w:rsid w:val="003015CF"/>
    <w:rsid w:val="00361BA8"/>
    <w:rsid w:val="004400B7"/>
    <w:rsid w:val="00470046"/>
    <w:rsid w:val="004733EA"/>
    <w:rsid w:val="004760B7"/>
    <w:rsid w:val="004959CD"/>
    <w:rsid w:val="00520EDE"/>
    <w:rsid w:val="005E286C"/>
    <w:rsid w:val="00616CED"/>
    <w:rsid w:val="00682AD3"/>
    <w:rsid w:val="006C5F35"/>
    <w:rsid w:val="006D4758"/>
    <w:rsid w:val="006E3192"/>
    <w:rsid w:val="00733D59"/>
    <w:rsid w:val="007930BE"/>
    <w:rsid w:val="007D4F06"/>
    <w:rsid w:val="00801F24"/>
    <w:rsid w:val="0083261B"/>
    <w:rsid w:val="008D2466"/>
    <w:rsid w:val="008D4960"/>
    <w:rsid w:val="009403D8"/>
    <w:rsid w:val="009664FB"/>
    <w:rsid w:val="009D2DCB"/>
    <w:rsid w:val="009E33F1"/>
    <w:rsid w:val="00A74252"/>
    <w:rsid w:val="00B85AD6"/>
    <w:rsid w:val="00B878D2"/>
    <w:rsid w:val="00B87A59"/>
    <w:rsid w:val="00B95DD1"/>
    <w:rsid w:val="00C44848"/>
    <w:rsid w:val="00CF01DC"/>
    <w:rsid w:val="00D04EF4"/>
    <w:rsid w:val="00D376D8"/>
    <w:rsid w:val="00D4654C"/>
    <w:rsid w:val="00D6477B"/>
    <w:rsid w:val="00DE199A"/>
    <w:rsid w:val="00DE3F6A"/>
    <w:rsid w:val="00E32489"/>
    <w:rsid w:val="00E36F81"/>
    <w:rsid w:val="00E825C5"/>
    <w:rsid w:val="00EA78ED"/>
    <w:rsid w:val="00F055E1"/>
    <w:rsid w:val="00F23323"/>
    <w:rsid w:val="00F70075"/>
    <w:rsid w:val="00F9398E"/>
    <w:rsid w:val="00F94829"/>
    <w:rsid w:val="00FF1284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2EFA2"/>
  <w15:chartTrackingRefBased/>
  <w15:docId w15:val="{C5A2662C-22ED-4BDD-9F9D-64252DB6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33D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0B7"/>
    <w:rPr>
      <w:rFonts w:ascii="Segoe UI" w:hAnsi="Segoe UI" w:cs="Segoe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400B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286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286C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83261B"/>
  </w:style>
  <w:style w:type="character" w:styleId="aa">
    <w:name w:val="annotation reference"/>
    <w:basedOn w:val="a0"/>
    <w:uiPriority w:val="99"/>
    <w:semiHidden/>
    <w:unhideWhenUsed/>
    <w:rsid w:val="000F60A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F60A9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0F60A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F60A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0F60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kunshan</dc:creator>
  <cp:keywords/>
  <dc:description/>
  <cp:lastModifiedBy>zhang kunshan</cp:lastModifiedBy>
  <cp:revision>2</cp:revision>
  <dcterms:created xsi:type="dcterms:W3CDTF">2021-03-09T02:49:00Z</dcterms:created>
  <dcterms:modified xsi:type="dcterms:W3CDTF">2021-03-09T02:49:00Z</dcterms:modified>
</cp:coreProperties>
</file>