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D91198" w14:textId="641E5242" w:rsidR="00453452" w:rsidRPr="00802CFC" w:rsidRDefault="00453452" w:rsidP="00453452">
      <w:pPr>
        <w:spacing w:line="480" w:lineRule="auto"/>
        <w:rPr>
          <w:rFonts w:ascii="Arial" w:hAnsi="Arial" w:cs="Arial"/>
          <w:b/>
          <w:bCs/>
          <w:color w:val="000000" w:themeColor="text1"/>
          <w:szCs w:val="20"/>
        </w:rPr>
      </w:pPr>
      <w:r w:rsidRPr="00802CFC">
        <w:rPr>
          <w:rFonts w:ascii="Arial" w:hAnsi="Arial" w:cs="Arial"/>
          <w:b/>
          <w:bCs/>
          <w:color w:val="000000" w:themeColor="text1"/>
          <w:szCs w:val="20"/>
        </w:rPr>
        <w:t>Supplementary figure</w:t>
      </w:r>
      <w:r>
        <w:rPr>
          <w:rFonts w:ascii="Arial" w:hAnsi="Arial" w:cs="Arial"/>
          <w:b/>
          <w:bCs/>
          <w:color w:val="000000" w:themeColor="text1"/>
          <w:szCs w:val="20"/>
        </w:rPr>
        <w:t xml:space="preserve"> legends</w:t>
      </w:r>
    </w:p>
    <w:p w14:paraId="00116060" w14:textId="77777777" w:rsidR="00453452" w:rsidRDefault="00453452" w:rsidP="00453452">
      <w:pPr>
        <w:spacing w:line="480" w:lineRule="auto"/>
        <w:rPr>
          <w:rFonts w:ascii="Arial" w:hAnsi="Arial" w:cs="Arial"/>
          <w:b/>
          <w:bCs/>
          <w:color w:val="000000" w:themeColor="text1"/>
          <w:szCs w:val="20"/>
        </w:rPr>
      </w:pPr>
    </w:p>
    <w:p w14:paraId="1884EBCF" w14:textId="62E43061" w:rsidR="00453452" w:rsidRPr="00841CE5" w:rsidRDefault="00453452" w:rsidP="00453452">
      <w:pPr>
        <w:spacing w:line="480" w:lineRule="auto"/>
        <w:rPr>
          <w:rFonts w:ascii="Arial" w:hAnsi="Arial" w:cs="Arial"/>
          <w:color w:val="000000" w:themeColor="text1"/>
          <w:szCs w:val="20"/>
        </w:rPr>
      </w:pPr>
      <w:r w:rsidRPr="00802CFC">
        <w:rPr>
          <w:rFonts w:ascii="Arial" w:hAnsi="Arial" w:cs="Arial"/>
          <w:b/>
          <w:bCs/>
          <w:color w:val="000000" w:themeColor="text1"/>
          <w:szCs w:val="20"/>
        </w:rPr>
        <w:t xml:space="preserve">Supplementary Figure </w:t>
      </w:r>
      <w:r>
        <w:rPr>
          <w:rFonts w:ascii="Arial" w:hAnsi="Arial" w:cs="Arial"/>
          <w:b/>
          <w:bCs/>
          <w:color w:val="000000" w:themeColor="text1"/>
          <w:szCs w:val="20"/>
        </w:rPr>
        <w:t>S</w:t>
      </w:r>
      <w:r w:rsidRPr="00802CFC">
        <w:rPr>
          <w:rFonts w:ascii="Arial" w:hAnsi="Arial" w:cs="Arial"/>
          <w:b/>
          <w:bCs/>
          <w:color w:val="000000" w:themeColor="text1"/>
          <w:szCs w:val="20"/>
        </w:rPr>
        <w:t xml:space="preserve">1. </w:t>
      </w:r>
      <w:r w:rsidRPr="00841CE5">
        <w:rPr>
          <w:rFonts w:ascii="Arial" w:hAnsi="Arial" w:cs="Arial"/>
          <w:color w:val="000000" w:themeColor="text1"/>
          <w:szCs w:val="20"/>
        </w:rPr>
        <w:t xml:space="preserve">Mutational landscape of the </w:t>
      </w:r>
      <w:proofErr w:type="gramStart"/>
      <w:r w:rsidRPr="00841CE5">
        <w:rPr>
          <w:rFonts w:ascii="Arial" w:hAnsi="Arial" w:cs="Arial"/>
          <w:color w:val="000000" w:themeColor="text1"/>
          <w:szCs w:val="20"/>
        </w:rPr>
        <w:t>glioblastoma</w:t>
      </w:r>
      <w:r w:rsidR="00731104">
        <w:rPr>
          <w:rFonts w:ascii="Arial" w:hAnsi="Arial" w:cs="Arial"/>
          <w:color w:val="000000" w:themeColor="text1"/>
          <w:szCs w:val="20"/>
        </w:rPr>
        <w:t>(</w:t>
      </w:r>
      <w:proofErr w:type="gramEnd"/>
      <w:r w:rsidR="00731104">
        <w:rPr>
          <w:rFonts w:ascii="Arial" w:hAnsi="Arial" w:cs="Arial"/>
          <w:color w:val="000000" w:themeColor="text1"/>
          <w:szCs w:val="20"/>
        </w:rPr>
        <w:t>GBM)</w:t>
      </w:r>
      <w:r w:rsidRPr="00841CE5">
        <w:rPr>
          <w:rFonts w:ascii="Arial" w:hAnsi="Arial" w:cs="Arial"/>
          <w:color w:val="000000" w:themeColor="text1"/>
          <w:szCs w:val="20"/>
        </w:rPr>
        <w:t xml:space="preserve"> </w:t>
      </w:r>
      <w:r w:rsidR="00BA5F51">
        <w:rPr>
          <w:rFonts w:ascii="Arial" w:hAnsi="Arial" w:cs="Arial" w:hint="eastAsia"/>
          <w:color w:val="000000" w:themeColor="text1"/>
          <w:szCs w:val="20"/>
        </w:rPr>
        <w:t>p</w:t>
      </w:r>
      <w:r w:rsidR="00BA5F51">
        <w:rPr>
          <w:rFonts w:ascii="Arial" w:hAnsi="Arial" w:cs="Arial"/>
          <w:color w:val="000000" w:themeColor="text1"/>
          <w:szCs w:val="20"/>
        </w:rPr>
        <w:t xml:space="preserve">atients in this study </w:t>
      </w:r>
      <w:r w:rsidRPr="00841CE5">
        <w:rPr>
          <w:rFonts w:ascii="Arial" w:hAnsi="Arial" w:cs="Arial"/>
          <w:color w:val="000000" w:themeColor="text1"/>
          <w:szCs w:val="20"/>
        </w:rPr>
        <w:t>cohort (</w:t>
      </w:r>
      <w:proofErr w:type="spellStart"/>
      <w:r w:rsidRPr="00841CE5">
        <w:rPr>
          <w:rFonts w:ascii="Arial" w:hAnsi="Arial" w:cs="Arial"/>
          <w:color w:val="000000" w:themeColor="text1"/>
          <w:szCs w:val="20"/>
        </w:rPr>
        <w:t>Oncoprint</w:t>
      </w:r>
      <w:proofErr w:type="spellEnd"/>
      <w:r w:rsidRPr="00841CE5">
        <w:rPr>
          <w:rFonts w:ascii="Arial" w:hAnsi="Arial" w:cs="Arial"/>
          <w:color w:val="000000" w:themeColor="text1"/>
          <w:szCs w:val="20"/>
        </w:rPr>
        <w:t>)</w:t>
      </w:r>
    </w:p>
    <w:p w14:paraId="3E5713C7" w14:textId="33F43190" w:rsidR="00453452" w:rsidRPr="00841CE5" w:rsidRDefault="00453452" w:rsidP="00453452">
      <w:pPr>
        <w:spacing w:line="480" w:lineRule="auto"/>
        <w:rPr>
          <w:rFonts w:ascii="Arial" w:hAnsi="Arial" w:cs="Arial"/>
          <w:color w:val="000000" w:themeColor="text1"/>
          <w:szCs w:val="20"/>
        </w:rPr>
      </w:pPr>
      <w:r w:rsidRPr="00802CFC">
        <w:rPr>
          <w:rFonts w:ascii="Arial" w:hAnsi="Arial" w:cs="Arial"/>
          <w:b/>
          <w:bCs/>
          <w:color w:val="000000" w:themeColor="text1"/>
          <w:szCs w:val="20"/>
        </w:rPr>
        <w:t xml:space="preserve">Supplementary Figure </w:t>
      </w:r>
      <w:r>
        <w:rPr>
          <w:rFonts w:ascii="Arial" w:hAnsi="Arial" w:cs="Arial"/>
          <w:b/>
          <w:bCs/>
          <w:color w:val="000000" w:themeColor="text1"/>
          <w:szCs w:val="20"/>
        </w:rPr>
        <w:t>S</w:t>
      </w:r>
      <w:r w:rsidRPr="00802CFC">
        <w:rPr>
          <w:rFonts w:ascii="Arial" w:hAnsi="Arial" w:cs="Arial"/>
          <w:b/>
          <w:bCs/>
          <w:color w:val="000000" w:themeColor="text1"/>
          <w:szCs w:val="20"/>
        </w:rPr>
        <w:t xml:space="preserve">2. </w:t>
      </w:r>
      <w:r w:rsidRPr="00841CE5">
        <w:rPr>
          <w:rFonts w:ascii="Arial" w:hAnsi="Arial" w:cs="Arial"/>
          <w:color w:val="000000" w:themeColor="text1"/>
          <w:szCs w:val="20"/>
        </w:rPr>
        <w:t xml:space="preserve">Mutation profiles of </w:t>
      </w:r>
      <w:r w:rsidRPr="00841CE5">
        <w:rPr>
          <w:rFonts w:ascii="Arial" w:hAnsi="Arial" w:cs="Arial"/>
          <w:i/>
          <w:iCs/>
          <w:color w:val="000000" w:themeColor="text1"/>
          <w:szCs w:val="20"/>
        </w:rPr>
        <w:t>PTEN</w:t>
      </w:r>
      <w:r w:rsidRPr="00841CE5">
        <w:rPr>
          <w:rFonts w:ascii="Arial" w:hAnsi="Arial" w:cs="Arial"/>
          <w:color w:val="000000" w:themeColor="text1"/>
          <w:szCs w:val="20"/>
        </w:rPr>
        <w:t xml:space="preserve"> in GBM tumors (TCGA, provisional)</w:t>
      </w:r>
      <w:r w:rsidR="00F725AF">
        <w:rPr>
          <w:rFonts w:ascii="Arial" w:hAnsi="Arial" w:cs="Arial"/>
          <w:color w:val="000000" w:themeColor="text1"/>
          <w:szCs w:val="20"/>
        </w:rPr>
        <w:t xml:space="preserve"> Statistically significant association between mutation type and </w:t>
      </w:r>
      <w:r w:rsidR="00F725AF" w:rsidRPr="00841CE5">
        <w:rPr>
          <w:rFonts w:ascii="Arial" w:hAnsi="Arial" w:cs="Arial"/>
          <w:i/>
          <w:iCs/>
          <w:color w:val="000000" w:themeColor="text1"/>
          <w:szCs w:val="20"/>
        </w:rPr>
        <w:t>PTEN</w:t>
      </w:r>
      <w:r w:rsidR="00F725AF">
        <w:rPr>
          <w:rFonts w:ascii="Arial" w:hAnsi="Arial" w:cs="Arial"/>
          <w:color w:val="000000" w:themeColor="text1"/>
          <w:szCs w:val="20"/>
        </w:rPr>
        <w:t xml:space="preserve"> domain was also validated in TCGA data set (p-value &lt;0.001, Fisher’s exact test). </w:t>
      </w:r>
    </w:p>
    <w:p w14:paraId="2D9EA03F" w14:textId="128B3716" w:rsidR="00453452" w:rsidRPr="00841CE5" w:rsidRDefault="00453452" w:rsidP="00453452">
      <w:pPr>
        <w:spacing w:line="480" w:lineRule="auto"/>
        <w:rPr>
          <w:rFonts w:ascii="Arial" w:hAnsi="Arial" w:cs="Arial"/>
          <w:color w:val="000000" w:themeColor="text1"/>
          <w:szCs w:val="20"/>
        </w:rPr>
      </w:pPr>
      <w:r w:rsidRPr="00802CFC">
        <w:rPr>
          <w:rFonts w:ascii="Arial" w:hAnsi="Arial" w:cs="Arial"/>
          <w:b/>
          <w:bCs/>
          <w:color w:val="000000" w:themeColor="text1"/>
          <w:szCs w:val="20"/>
        </w:rPr>
        <w:t xml:space="preserve">Supplementary Figure </w:t>
      </w:r>
      <w:r>
        <w:rPr>
          <w:rFonts w:ascii="Arial" w:hAnsi="Arial" w:cs="Arial"/>
          <w:b/>
          <w:bCs/>
          <w:color w:val="000000" w:themeColor="text1"/>
          <w:szCs w:val="20"/>
        </w:rPr>
        <w:t>S</w:t>
      </w:r>
      <w:r w:rsidRPr="00802CFC">
        <w:rPr>
          <w:rFonts w:ascii="Arial" w:hAnsi="Arial" w:cs="Arial"/>
          <w:b/>
          <w:bCs/>
          <w:color w:val="000000" w:themeColor="text1"/>
          <w:szCs w:val="20"/>
        </w:rPr>
        <w:t xml:space="preserve">3. </w:t>
      </w:r>
      <w:r w:rsidRPr="00841CE5">
        <w:rPr>
          <w:rFonts w:ascii="Arial" w:hAnsi="Arial" w:cs="Arial"/>
          <w:color w:val="000000" w:themeColor="text1"/>
          <w:szCs w:val="20"/>
        </w:rPr>
        <w:t xml:space="preserve">Survival outcome </w:t>
      </w:r>
      <w:r w:rsidR="00E86A87" w:rsidRPr="00841CE5">
        <w:rPr>
          <w:rFonts w:ascii="Arial" w:hAnsi="Arial" w:cs="Arial"/>
          <w:color w:val="000000" w:themeColor="text1"/>
          <w:szCs w:val="20"/>
        </w:rPr>
        <w:t>o</w:t>
      </w:r>
      <w:r w:rsidRPr="00841CE5">
        <w:rPr>
          <w:rFonts w:ascii="Arial" w:hAnsi="Arial" w:cs="Arial"/>
          <w:color w:val="000000" w:themeColor="text1"/>
          <w:szCs w:val="20"/>
        </w:rPr>
        <w:t xml:space="preserve">f GBM patients in TCGA cohort stratified by </w:t>
      </w:r>
      <w:r w:rsidRPr="00841CE5">
        <w:rPr>
          <w:rFonts w:ascii="Arial" w:hAnsi="Arial" w:cs="Arial"/>
          <w:i/>
          <w:iCs/>
          <w:color w:val="000000" w:themeColor="text1"/>
          <w:szCs w:val="20"/>
        </w:rPr>
        <w:t>PTEN</w:t>
      </w:r>
      <w:r w:rsidRPr="00841CE5">
        <w:rPr>
          <w:rFonts w:ascii="Arial" w:hAnsi="Arial" w:cs="Arial"/>
          <w:color w:val="000000" w:themeColor="text1"/>
          <w:szCs w:val="20"/>
        </w:rPr>
        <w:t xml:space="preserve"> alteration status</w:t>
      </w:r>
      <w:r w:rsidR="00212A51">
        <w:rPr>
          <w:rFonts w:ascii="Arial" w:hAnsi="Arial" w:cs="Arial"/>
          <w:color w:val="000000" w:themeColor="text1"/>
          <w:szCs w:val="20"/>
        </w:rPr>
        <w:t>.</w:t>
      </w:r>
    </w:p>
    <w:p w14:paraId="39765A64" w14:textId="77777777" w:rsidR="00453452" w:rsidRPr="00C231EF" w:rsidRDefault="00453452" w:rsidP="00453452">
      <w:pPr>
        <w:spacing w:line="480" w:lineRule="auto"/>
        <w:rPr>
          <w:rFonts w:ascii="Arial" w:hAnsi="Arial" w:cs="Arial"/>
          <w:bCs/>
          <w:color w:val="000000" w:themeColor="text1"/>
          <w:szCs w:val="20"/>
        </w:rPr>
      </w:pPr>
      <w:r w:rsidRPr="00802CFC">
        <w:rPr>
          <w:rFonts w:ascii="Arial" w:hAnsi="Arial" w:cs="Arial"/>
          <w:bCs/>
          <w:i/>
          <w:color w:val="000000" w:themeColor="text1"/>
          <w:szCs w:val="20"/>
        </w:rPr>
        <w:t>Abbreviation</w:t>
      </w:r>
      <w:r w:rsidRPr="00802CFC">
        <w:rPr>
          <w:rFonts w:ascii="Arial" w:hAnsi="Arial" w:cs="Arial"/>
          <w:bCs/>
          <w:color w:val="000000" w:themeColor="text1"/>
          <w:szCs w:val="20"/>
        </w:rPr>
        <w:t xml:space="preserve">: OS, overall survival; </w:t>
      </w:r>
      <w:proofErr w:type="spellStart"/>
      <w:r w:rsidRPr="00802CFC">
        <w:rPr>
          <w:rFonts w:ascii="Arial" w:hAnsi="Arial" w:cs="Arial"/>
          <w:bCs/>
          <w:color w:val="000000" w:themeColor="text1"/>
          <w:szCs w:val="20"/>
        </w:rPr>
        <w:t>mos</w:t>
      </w:r>
      <w:proofErr w:type="spellEnd"/>
      <w:r w:rsidRPr="00802CFC">
        <w:rPr>
          <w:rFonts w:ascii="Arial" w:hAnsi="Arial" w:cs="Arial"/>
          <w:bCs/>
          <w:color w:val="000000" w:themeColor="text1"/>
          <w:szCs w:val="20"/>
        </w:rPr>
        <w:t xml:space="preserve">, months; WT, </w:t>
      </w:r>
      <w:proofErr w:type="gramStart"/>
      <w:r w:rsidRPr="00802CFC">
        <w:rPr>
          <w:rFonts w:ascii="Arial" w:hAnsi="Arial" w:cs="Arial"/>
          <w:bCs/>
          <w:color w:val="000000" w:themeColor="text1"/>
          <w:szCs w:val="20"/>
        </w:rPr>
        <w:t>wild-type</w:t>
      </w:r>
      <w:proofErr w:type="gramEnd"/>
      <w:r w:rsidRPr="00802CFC">
        <w:rPr>
          <w:rFonts w:ascii="Arial" w:hAnsi="Arial" w:cs="Arial"/>
          <w:bCs/>
          <w:color w:val="000000" w:themeColor="text1"/>
          <w:szCs w:val="20"/>
        </w:rPr>
        <w:t>; DEL only, deletion only; MUT only, mutation only; both, both deletion and mutation alleles.</w:t>
      </w:r>
    </w:p>
    <w:p w14:paraId="0C768F70" w14:textId="01CCF1C8" w:rsidR="00453452" w:rsidRPr="00841CE5" w:rsidRDefault="00453452" w:rsidP="00453452">
      <w:pPr>
        <w:tabs>
          <w:tab w:val="left" w:pos="3315"/>
        </w:tabs>
        <w:spacing w:line="480" w:lineRule="auto"/>
        <w:rPr>
          <w:rFonts w:ascii="Arial" w:hAnsi="Arial" w:cs="Arial"/>
          <w:color w:val="000000" w:themeColor="text1"/>
          <w:szCs w:val="20"/>
        </w:rPr>
      </w:pPr>
      <w:r w:rsidRPr="00802CFC">
        <w:rPr>
          <w:rFonts w:ascii="Arial" w:hAnsi="Arial" w:cs="Arial"/>
          <w:b/>
          <w:bCs/>
          <w:color w:val="000000" w:themeColor="text1"/>
          <w:szCs w:val="20"/>
        </w:rPr>
        <w:t xml:space="preserve">Supplementary Figure </w:t>
      </w:r>
      <w:r>
        <w:rPr>
          <w:rFonts w:ascii="Arial" w:hAnsi="Arial" w:cs="Arial"/>
          <w:b/>
          <w:bCs/>
          <w:color w:val="000000" w:themeColor="text1"/>
          <w:szCs w:val="20"/>
        </w:rPr>
        <w:t>S</w:t>
      </w:r>
      <w:r w:rsidRPr="00802CFC">
        <w:rPr>
          <w:rFonts w:ascii="Arial" w:hAnsi="Arial" w:cs="Arial"/>
          <w:b/>
          <w:bCs/>
          <w:color w:val="000000" w:themeColor="text1"/>
          <w:szCs w:val="20"/>
        </w:rPr>
        <w:t>4</w:t>
      </w:r>
      <w:r w:rsidRPr="00841CE5">
        <w:rPr>
          <w:rFonts w:ascii="Arial" w:hAnsi="Arial" w:cs="Arial"/>
          <w:color w:val="000000" w:themeColor="text1"/>
          <w:szCs w:val="20"/>
        </w:rPr>
        <w:t xml:space="preserve">. P-Akt activity of </w:t>
      </w:r>
      <w:r w:rsidRPr="00841CE5">
        <w:rPr>
          <w:rFonts w:ascii="Arial" w:hAnsi="Arial" w:cs="Arial"/>
          <w:i/>
          <w:iCs/>
          <w:color w:val="000000" w:themeColor="text1"/>
          <w:szCs w:val="20"/>
        </w:rPr>
        <w:t>PTEN</w:t>
      </w:r>
      <w:r w:rsidRPr="00841CE5">
        <w:rPr>
          <w:rFonts w:ascii="Arial" w:hAnsi="Arial" w:cs="Arial"/>
          <w:color w:val="000000" w:themeColor="text1"/>
          <w:szCs w:val="20"/>
        </w:rPr>
        <w:t>-null PDCs (</w:t>
      </w:r>
      <w:r w:rsidR="001F591E" w:rsidRPr="00841CE5">
        <w:rPr>
          <w:rFonts w:ascii="Arial" w:hAnsi="Arial" w:cs="Arial"/>
          <w:color w:val="000000" w:themeColor="text1"/>
          <w:szCs w:val="20"/>
        </w:rPr>
        <w:t>P090</w:t>
      </w:r>
      <w:r w:rsidRPr="00841CE5">
        <w:rPr>
          <w:rFonts w:ascii="Arial" w:hAnsi="Arial" w:cs="Arial"/>
          <w:color w:val="000000" w:themeColor="text1"/>
          <w:szCs w:val="20"/>
        </w:rPr>
        <w:t>) overexpressing wild-type and mutant PTEN</w:t>
      </w:r>
      <w:r w:rsidR="00212A51">
        <w:rPr>
          <w:rFonts w:ascii="Arial" w:hAnsi="Arial" w:cs="Arial"/>
          <w:color w:val="000000" w:themeColor="text1"/>
          <w:szCs w:val="20"/>
        </w:rPr>
        <w:t>.</w:t>
      </w:r>
      <w:r w:rsidRPr="00841CE5">
        <w:rPr>
          <w:rFonts w:ascii="Arial" w:hAnsi="Arial" w:cs="Arial"/>
          <w:color w:val="000000" w:themeColor="text1"/>
          <w:szCs w:val="20"/>
        </w:rPr>
        <w:t xml:space="preserve"> </w:t>
      </w:r>
    </w:p>
    <w:p w14:paraId="3B697EC0" w14:textId="5BCD1784" w:rsidR="00453452" w:rsidRDefault="00453452" w:rsidP="00453452">
      <w:pPr>
        <w:tabs>
          <w:tab w:val="left" w:pos="3315"/>
        </w:tabs>
        <w:spacing w:line="480" w:lineRule="auto"/>
        <w:rPr>
          <w:rFonts w:ascii="Arial" w:hAnsi="Arial" w:cs="Arial"/>
          <w:color w:val="000000" w:themeColor="text1"/>
          <w:szCs w:val="20"/>
        </w:rPr>
      </w:pPr>
      <w:r w:rsidRPr="00802CFC">
        <w:rPr>
          <w:rFonts w:ascii="Arial" w:hAnsi="Arial" w:cs="Arial"/>
          <w:b/>
          <w:bCs/>
          <w:color w:val="000000" w:themeColor="text1"/>
          <w:szCs w:val="20"/>
        </w:rPr>
        <w:t xml:space="preserve">Supplementary Figure </w:t>
      </w:r>
      <w:r>
        <w:rPr>
          <w:rFonts w:ascii="Arial" w:hAnsi="Arial" w:cs="Arial"/>
          <w:b/>
          <w:bCs/>
          <w:color w:val="000000" w:themeColor="text1"/>
          <w:szCs w:val="20"/>
        </w:rPr>
        <w:t>S5</w:t>
      </w:r>
      <w:r w:rsidRPr="00802CFC">
        <w:rPr>
          <w:rFonts w:ascii="Arial" w:hAnsi="Arial" w:cs="Arial"/>
          <w:b/>
          <w:bCs/>
          <w:color w:val="000000" w:themeColor="text1"/>
          <w:szCs w:val="20"/>
        </w:rPr>
        <w:t xml:space="preserve">. </w:t>
      </w:r>
      <w:r w:rsidRPr="00841CE5">
        <w:rPr>
          <w:rFonts w:ascii="Arial" w:hAnsi="Arial" w:cs="Arial"/>
          <w:color w:val="000000" w:themeColor="text1"/>
          <w:szCs w:val="20"/>
        </w:rPr>
        <w:t>Subcellular compartmentalization of PTEN mutants according to distinct CLUMP-defined clusters.</w:t>
      </w:r>
      <w:r w:rsidRPr="00E86A87">
        <w:rPr>
          <w:rFonts w:ascii="Arial" w:hAnsi="Arial" w:cs="Arial"/>
          <w:b/>
          <w:bCs/>
          <w:color w:val="000000" w:themeColor="text1"/>
          <w:szCs w:val="20"/>
        </w:rPr>
        <w:t xml:space="preserve"> </w:t>
      </w:r>
      <w:r w:rsidRPr="009001FA">
        <w:rPr>
          <w:rFonts w:ascii="Arial" w:hAnsi="Arial" w:cs="Arial"/>
          <w:color w:val="000000" w:themeColor="text1"/>
          <w:szCs w:val="20"/>
        </w:rPr>
        <w:t xml:space="preserve">CLUMP analysis of </w:t>
      </w:r>
      <w:r w:rsidRPr="00212A51">
        <w:rPr>
          <w:rFonts w:ascii="Arial" w:hAnsi="Arial" w:cs="Arial"/>
          <w:i/>
          <w:iCs/>
          <w:color w:val="000000" w:themeColor="text1"/>
          <w:szCs w:val="20"/>
        </w:rPr>
        <w:t>PTEN</w:t>
      </w:r>
      <w:r w:rsidRPr="009001FA">
        <w:rPr>
          <w:rFonts w:ascii="Arial" w:hAnsi="Arial" w:cs="Arial"/>
          <w:color w:val="000000" w:themeColor="text1"/>
          <w:szCs w:val="20"/>
        </w:rPr>
        <w:t xml:space="preserve"> mutations identified several functional subgroups and CLUMP cluster </w:t>
      </w:r>
      <w:r>
        <w:rPr>
          <w:rFonts w:ascii="Arial" w:hAnsi="Arial" w:cs="Arial"/>
          <w:color w:val="000000" w:themeColor="text1"/>
          <w:szCs w:val="20"/>
        </w:rPr>
        <w:t>4</w:t>
      </w:r>
      <w:r w:rsidRPr="009001FA">
        <w:rPr>
          <w:rFonts w:ascii="Arial" w:hAnsi="Arial" w:cs="Arial"/>
          <w:color w:val="000000" w:themeColor="text1"/>
          <w:szCs w:val="20"/>
        </w:rPr>
        <w:t xml:space="preserve"> and cluster </w:t>
      </w:r>
      <w:r>
        <w:rPr>
          <w:rFonts w:ascii="Arial" w:hAnsi="Arial" w:cs="Arial"/>
          <w:color w:val="000000" w:themeColor="text1"/>
          <w:szCs w:val="20"/>
        </w:rPr>
        <w:t>1</w:t>
      </w:r>
      <w:r w:rsidRPr="009001FA">
        <w:rPr>
          <w:rFonts w:ascii="Arial" w:hAnsi="Arial" w:cs="Arial"/>
          <w:color w:val="000000" w:themeColor="text1"/>
          <w:szCs w:val="20"/>
        </w:rPr>
        <w:t xml:space="preserve"> were respectively highlighted by edge mutation and nuclear mutation. </w:t>
      </w:r>
      <w:r>
        <w:rPr>
          <w:rFonts w:ascii="Arial" w:hAnsi="Arial" w:cs="Arial"/>
          <w:color w:val="000000" w:themeColor="text1"/>
          <w:szCs w:val="20"/>
        </w:rPr>
        <w:t xml:space="preserve">Some of PTEN mutants of phosphatase domain, which were included in the different cluster, exhibited the same subcellular localization in accordance with CLUMP-defined clusters, further corroborating the functional relevance of CLUMP clusters. Cellular periphery localization of PTEN G129E mutant </w:t>
      </w:r>
      <w:r w:rsidR="0030595F">
        <w:rPr>
          <w:rFonts w:ascii="Arial" w:hAnsi="Arial" w:cs="Arial"/>
          <w:color w:val="000000" w:themeColor="text1"/>
          <w:szCs w:val="20"/>
        </w:rPr>
        <w:t xml:space="preserve">(CLUMP cluster 4) </w:t>
      </w:r>
      <w:r>
        <w:rPr>
          <w:rFonts w:ascii="Arial" w:hAnsi="Arial" w:cs="Arial"/>
          <w:color w:val="000000" w:themeColor="text1"/>
          <w:szCs w:val="20"/>
        </w:rPr>
        <w:t xml:space="preserve">(central); nuclear localization of PTEN Y177C mutant </w:t>
      </w:r>
      <w:r w:rsidR="0030595F">
        <w:rPr>
          <w:rFonts w:ascii="Arial" w:hAnsi="Arial" w:cs="Arial"/>
          <w:color w:val="000000" w:themeColor="text1"/>
          <w:szCs w:val="20"/>
        </w:rPr>
        <w:t xml:space="preserve">(CLUMP cluster 1) </w:t>
      </w:r>
      <w:r>
        <w:rPr>
          <w:rFonts w:ascii="Arial" w:hAnsi="Arial" w:cs="Arial"/>
          <w:color w:val="000000" w:themeColor="text1"/>
          <w:szCs w:val="20"/>
        </w:rPr>
        <w:t>(left).</w:t>
      </w:r>
    </w:p>
    <w:p w14:paraId="5C39FB02" w14:textId="41B2BAB2" w:rsidR="00D82F31" w:rsidRDefault="00D82F31" w:rsidP="00453452">
      <w:pPr>
        <w:tabs>
          <w:tab w:val="left" w:pos="3315"/>
        </w:tabs>
        <w:spacing w:line="480" w:lineRule="auto"/>
        <w:rPr>
          <w:rFonts w:ascii="Arial" w:hAnsi="Arial" w:cs="Arial"/>
          <w:color w:val="000000" w:themeColor="text1"/>
          <w:szCs w:val="20"/>
        </w:rPr>
      </w:pPr>
      <w:r w:rsidRPr="00841CE5">
        <w:rPr>
          <w:rFonts w:ascii="Arial" w:hAnsi="Arial" w:cs="Arial"/>
          <w:b/>
          <w:bCs/>
          <w:color w:val="000000" w:themeColor="text1"/>
          <w:szCs w:val="20"/>
        </w:rPr>
        <w:t>Supplementary Figure S6</w:t>
      </w:r>
      <w:r>
        <w:rPr>
          <w:rFonts w:ascii="Arial" w:hAnsi="Arial" w:cs="Arial"/>
          <w:color w:val="000000" w:themeColor="text1"/>
          <w:szCs w:val="20"/>
        </w:rPr>
        <w:t xml:space="preserve">. </w:t>
      </w:r>
      <w:r w:rsidRPr="00E86A87">
        <w:rPr>
          <w:rFonts w:ascii="Arial" w:hAnsi="Arial" w:cs="Arial"/>
          <w:color w:val="000000" w:themeColor="text1"/>
          <w:szCs w:val="20"/>
        </w:rPr>
        <w:t xml:space="preserve">Survival analysis of orthotopic xenograft models established by U87MG cells with </w:t>
      </w:r>
      <w:r w:rsidRPr="00841CE5">
        <w:rPr>
          <w:rFonts w:ascii="Arial" w:hAnsi="Arial" w:cs="Arial"/>
          <w:i/>
          <w:iCs/>
          <w:color w:val="000000" w:themeColor="text1"/>
          <w:szCs w:val="20"/>
        </w:rPr>
        <w:t>PTEN</w:t>
      </w:r>
      <w:r w:rsidRPr="00E86A87">
        <w:rPr>
          <w:rFonts w:ascii="Arial" w:hAnsi="Arial" w:cs="Arial"/>
          <w:color w:val="000000" w:themeColor="text1"/>
          <w:szCs w:val="20"/>
        </w:rPr>
        <w:t>-null and nuclear mutation (R173C).</w:t>
      </w:r>
      <w:r w:rsidR="00F02088">
        <w:rPr>
          <w:rFonts w:ascii="Arial" w:hAnsi="Arial" w:cs="Arial"/>
          <w:color w:val="000000" w:themeColor="text1"/>
          <w:szCs w:val="20"/>
        </w:rPr>
        <w:t xml:space="preserve"> </w:t>
      </w:r>
      <w:r w:rsidR="00F02088" w:rsidRPr="008D6C08">
        <w:rPr>
          <w:rFonts w:ascii="Arial" w:eastAsia="Calibri" w:hAnsi="Arial" w:cs="Arial"/>
          <w:snapToGrid w:val="0"/>
          <w:color w:val="000000"/>
          <w:kern w:val="0"/>
          <w:lang w:eastAsia="de-DE" w:bidi="en-US"/>
        </w:rPr>
        <w:t>Survival analysis was performed using a Kaplan–Meier plot, and the log-rank test was used to show statistical differences between survival curves</w:t>
      </w:r>
      <w:r w:rsidR="00F02088">
        <w:rPr>
          <w:rFonts w:ascii="Arial" w:eastAsia="Calibri" w:hAnsi="Arial" w:cs="Arial"/>
          <w:snapToGrid w:val="0"/>
          <w:color w:val="000000"/>
          <w:kern w:val="0"/>
          <w:lang w:eastAsia="de-DE" w:bidi="en-US"/>
        </w:rPr>
        <w:t>.</w:t>
      </w:r>
    </w:p>
    <w:p w14:paraId="1BE8CAD4" w14:textId="23ACEE0E" w:rsidR="001D1D3B" w:rsidRDefault="001D1D3B" w:rsidP="00453452">
      <w:pPr>
        <w:tabs>
          <w:tab w:val="left" w:pos="3315"/>
        </w:tabs>
        <w:spacing w:line="480" w:lineRule="auto"/>
        <w:rPr>
          <w:rFonts w:ascii="Arial" w:hAnsi="Arial" w:cs="Arial"/>
          <w:color w:val="000000" w:themeColor="text1"/>
          <w:szCs w:val="20"/>
        </w:rPr>
      </w:pPr>
      <w:r w:rsidRPr="00841CE5">
        <w:rPr>
          <w:rFonts w:ascii="Arial" w:hAnsi="Arial" w:cs="Arial"/>
          <w:b/>
          <w:bCs/>
          <w:color w:val="000000" w:themeColor="text1"/>
          <w:szCs w:val="20"/>
        </w:rPr>
        <w:t>Supplementary Figure S7.</w:t>
      </w:r>
      <w:r>
        <w:rPr>
          <w:rFonts w:ascii="Arial" w:hAnsi="Arial" w:cs="Arial"/>
          <w:color w:val="000000" w:themeColor="text1"/>
          <w:szCs w:val="20"/>
        </w:rPr>
        <w:t xml:space="preserve"> </w:t>
      </w:r>
      <w:r w:rsidR="002D1155" w:rsidRPr="00841CE5">
        <w:rPr>
          <w:rFonts w:ascii="Arial" w:hAnsi="Arial" w:cs="Arial"/>
          <w:i/>
          <w:iCs/>
          <w:color w:val="000000" w:themeColor="text1"/>
          <w:szCs w:val="20"/>
        </w:rPr>
        <w:t>In vitro</w:t>
      </w:r>
      <w:r w:rsidR="002D1155" w:rsidRPr="00E86A87">
        <w:rPr>
          <w:rFonts w:ascii="Arial" w:hAnsi="Arial" w:cs="Arial"/>
          <w:color w:val="000000" w:themeColor="text1"/>
          <w:szCs w:val="20"/>
        </w:rPr>
        <w:t xml:space="preserve"> </w:t>
      </w:r>
      <w:r w:rsidR="00F90722" w:rsidRPr="00E86A87">
        <w:rPr>
          <w:rFonts w:ascii="Arial" w:hAnsi="Arial" w:cs="Arial"/>
          <w:color w:val="000000" w:themeColor="text1"/>
          <w:szCs w:val="20"/>
        </w:rPr>
        <w:t>trans-well</w:t>
      </w:r>
      <w:r w:rsidR="002D1155" w:rsidRPr="00E86A87">
        <w:rPr>
          <w:rFonts w:ascii="Arial" w:hAnsi="Arial" w:cs="Arial"/>
          <w:color w:val="000000" w:themeColor="text1"/>
          <w:szCs w:val="20"/>
        </w:rPr>
        <w:t xml:space="preserve"> invasion assay to evaluate the invasion capacity of </w:t>
      </w:r>
      <w:r w:rsidR="00F90722" w:rsidRPr="00E86A87">
        <w:rPr>
          <w:rFonts w:ascii="Arial" w:hAnsi="Arial" w:cs="Arial"/>
          <w:color w:val="000000" w:themeColor="text1"/>
          <w:szCs w:val="20"/>
        </w:rPr>
        <w:t>U98MG cells</w:t>
      </w:r>
      <w:r w:rsidR="002D1155" w:rsidRPr="00E86A87">
        <w:rPr>
          <w:rFonts w:ascii="Arial" w:hAnsi="Arial" w:cs="Arial"/>
          <w:color w:val="000000" w:themeColor="text1"/>
          <w:szCs w:val="20"/>
        </w:rPr>
        <w:t xml:space="preserve"> with various </w:t>
      </w:r>
      <w:r w:rsidR="002D1155" w:rsidRPr="00212A51">
        <w:rPr>
          <w:rFonts w:ascii="Arial" w:hAnsi="Arial" w:cs="Arial"/>
          <w:i/>
          <w:iCs/>
          <w:color w:val="000000" w:themeColor="text1"/>
          <w:szCs w:val="20"/>
        </w:rPr>
        <w:t>PTEN</w:t>
      </w:r>
      <w:r w:rsidR="002D1155" w:rsidRPr="00E86A87">
        <w:rPr>
          <w:rFonts w:ascii="Arial" w:hAnsi="Arial" w:cs="Arial"/>
          <w:color w:val="000000" w:themeColor="text1"/>
          <w:szCs w:val="20"/>
        </w:rPr>
        <w:t xml:space="preserve"> mutation</w:t>
      </w:r>
      <w:r w:rsidR="00F02088" w:rsidRPr="00E86A87">
        <w:rPr>
          <w:rFonts w:ascii="Arial" w:hAnsi="Arial" w:cs="Arial"/>
          <w:color w:val="000000" w:themeColor="text1"/>
          <w:szCs w:val="20"/>
        </w:rPr>
        <w:t>s</w:t>
      </w:r>
      <w:r w:rsidR="002D1155" w:rsidRPr="00E86A87">
        <w:rPr>
          <w:rFonts w:ascii="Arial" w:hAnsi="Arial" w:cs="Arial"/>
          <w:color w:val="000000" w:themeColor="text1"/>
          <w:szCs w:val="20"/>
        </w:rPr>
        <w:t>.</w:t>
      </w:r>
      <w:r w:rsidR="002D1155">
        <w:rPr>
          <w:rFonts w:ascii="Arial" w:hAnsi="Arial" w:cs="Arial"/>
          <w:color w:val="000000" w:themeColor="text1"/>
          <w:szCs w:val="20"/>
        </w:rPr>
        <w:t xml:space="preserve"> </w:t>
      </w:r>
    </w:p>
    <w:p w14:paraId="6E9060EA" w14:textId="31E4BA77" w:rsidR="00E86A87" w:rsidRDefault="007A4F20" w:rsidP="00453452">
      <w:pPr>
        <w:tabs>
          <w:tab w:val="left" w:pos="3315"/>
        </w:tabs>
        <w:spacing w:line="480" w:lineRule="auto"/>
        <w:rPr>
          <w:rFonts w:ascii="Arial" w:hAnsi="Arial" w:cs="Arial"/>
          <w:color w:val="000000" w:themeColor="text1"/>
          <w:szCs w:val="20"/>
        </w:rPr>
      </w:pPr>
      <w:r w:rsidRPr="00841CE5">
        <w:rPr>
          <w:rFonts w:ascii="Arial" w:hAnsi="Arial" w:cs="Arial"/>
          <w:b/>
          <w:bCs/>
          <w:color w:val="000000" w:themeColor="text1"/>
          <w:szCs w:val="20"/>
        </w:rPr>
        <w:lastRenderedPageBreak/>
        <w:t>Supplementary Figure S8.</w:t>
      </w:r>
      <w:r>
        <w:rPr>
          <w:rFonts w:ascii="Arial" w:hAnsi="Arial" w:cs="Arial"/>
          <w:color w:val="000000" w:themeColor="text1"/>
          <w:szCs w:val="20"/>
        </w:rPr>
        <w:t xml:space="preserve"> </w:t>
      </w:r>
      <w:r w:rsidR="00675A33" w:rsidRPr="00841CE5">
        <w:rPr>
          <w:rFonts w:ascii="Arial" w:hAnsi="Arial" w:cs="Arial"/>
          <w:i/>
          <w:iCs/>
          <w:color w:val="000000" w:themeColor="text1"/>
          <w:szCs w:val="20"/>
        </w:rPr>
        <w:t>In vitro</w:t>
      </w:r>
      <w:r w:rsidR="00675A33" w:rsidRPr="00E86A87">
        <w:rPr>
          <w:rFonts w:ascii="Arial" w:hAnsi="Arial" w:cs="Arial"/>
          <w:color w:val="000000" w:themeColor="text1"/>
          <w:szCs w:val="20"/>
        </w:rPr>
        <w:t xml:space="preserve"> microfluidic assay to evaluate the invasion capacity of </w:t>
      </w:r>
      <w:r w:rsidR="00675A33" w:rsidRPr="00841CE5">
        <w:rPr>
          <w:rFonts w:ascii="Arial" w:hAnsi="Arial" w:cs="Arial"/>
          <w:i/>
          <w:iCs/>
          <w:color w:val="000000" w:themeColor="text1"/>
          <w:szCs w:val="20"/>
        </w:rPr>
        <w:t>PTEN</w:t>
      </w:r>
      <w:r w:rsidR="00675A33" w:rsidRPr="00E86A87">
        <w:rPr>
          <w:rFonts w:ascii="Arial" w:hAnsi="Arial" w:cs="Arial"/>
          <w:color w:val="000000" w:themeColor="text1"/>
          <w:szCs w:val="20"/>
        </w:rPr>
        <w:t xml:space="preserve">-null PDCs (P089) cells with various </w:t>
      </w:r>
      <w:r w:rsidR="00675A33" w:rsidRPr="00212A51">
        <w:rPr>
          <w:rFonts w:ascii="Arial" w:hAnsi="Arial" w:cs="Arial"/>
          <w:i/>
          <w:iCs/>
          <w:color w:val="000000" w:themeColor="text1"/>
          <w:szCs w:val="20"/>
        </w:rPr>
        <w:t>PTEN</w:t>
      </w:r>
      <w:r w:rsidR="00675A33" w:rsidRPr="00E86A87">
        <w:rPr>
          <w:rFonts w:ascii="Arial" w:hAnsi="Arial" w:cs="Arial"/>
          <w:color w:val="000000" w:themeColor="text1"/>
          <w:szCs w:val="20"/>
        </w:rPr>
        <w:t xml:space="preserve"> muta</w:t>
      </w:r>
      <w:r w:rsidR="00F02088" w:rsidRPr="00E86A87">
        <w:rPr>
          <w:rFonts w:ascii="Arial" w:hAnsi="Arial" w:cs="Arial"/>
          <w:color w:val="000000" w:themeColor="text1"/>
          <w:szCs w:val="20"/>
        </w:rPr>
        <w:t>tions.</w:t>
      </w:r>
    </w:p>
    <w:p w14:paraId="364D07D9" w14:textId="76F4C5C4" w:rsidR="00675A33" w:rsidRPr="00C231EF" w:rsidRDefault="00675A33" w:rsidP="00453452">
      <w:pPr>
        <w:tabs>
          <w:tab w:val="left" w:pos="3315"/>
        </w:tabs>
        <w:spacing w:line="480" w:lineRule="auto"/>
        <w:rPr>
          <w:rFonts w:ascii="Arial" w:hAnsi="Arial" w:cs="Arial"/>
          <w:color w:val="000000" w:themeColor="text1"/>
          <w:szCs w:val="20"/>
        </w:rPr>
      </w:pPr>
      <w:r w:rsidRPr="00841CE5">
        <w:rPr>
          <w:rFonts w:ascii="Arial" w:hAnsi="Arial" w:cs="Arial"/>
          <w:b/>
          <w:bCs/>
          <w:color w:val="000000" w:themeColor="text1"/>
          <w:szCs w:val="20"/>
        </w:rPr>
        <w:t>Supplementary Figure S9.</w:t>
      </w:r>
      <w:r>
        <w:rPr>
          <w:rFonts w:ascii="Arial" w:hAnsi="Arial" w:cs="Arial"/>
          <w:color w:val="000000" w:themeColor="text1"/>
          <w:szCs w:val="20"/>
        </w:rPr>
        <w:t xml:space="preserve"> </w:t>
      </w:r>
      <w:r w:rsidRPr="00E86A87">
        <w:rPr>
          <w:rFonts w:ascii="Arial" w:hAnsi="Arial" w:cs="Arial"/>
          <w:color w:val="000000" w:themeColor="text1"/>
          <w:szCs w:val="20"/>
        </w:rPr>
        <w:t xml:space="preserve">Co-localization of PTEN edge mutants and F-actin at the leading edge of </w:t>
      </w:r>
      <w:r w:rsidR="00F02088" w:rsidRPr="00E86A87">
        <w:rPr>
          <w:rFonts w:ascii="Arial" w:hAnsi="Arial" w:cs="Arial"/>
          <w:color w:val="000000" w:themeColor="text1"/>
          <w:szCs w:val="20"/>
        </w:rPr>
        <w:t>motile</w:t>
      </w:r>
      <w:r w:rsidRPr="00E86A87">
        <w:rPr>
          <w:rFonts w:ascii="Arial" w:hAnsi="Arial" w:cs="Arial"/>
          <w:color w:val="000000" w:themeColor="text1"/>
          <w:szCs w:val="20"/>
        </w:rPr>
        <w:t xml:space="preserve"> cells</w:t>
      </w:r>
      <w:r w:rsidR="00E86A87" w:rsidRPr="00841CE5">
        <w:rPr>
          <w:rFonts w:ascii="Arial" w:hAnsi="Arial" w:cs="Arial"/>
          <w:color w:val="000000" w:themeColor="text1"/>
          <w:szCs w:val="20"/>
        </w:rPr>
        <w:t xml:space="preserve"> (</w:t>
      </w:r>
      <w:r w:rsidR="00E86A87" w:rsidRPr="00212A51">
        <w:rPr>
          <w:rFonts w:ascii="Arial" w:hAnsi="Arial" w:cs="Arial"/>
          <w:i/>
          <w:iCs/>
          <w:color w:val="000000" w:themeColor="text1"/>
          <w:szCs w:val="20"/>
        </w:rPr>
        <w:t>PTEN</w:t>
      </w:r>
      <w:r w:rsidR="00E86A87" w:rsidRPr="00841CE5">
        <w:rPr>
          <w:rFonts w:ascii="Arial" w:hAnsi="Arial" w:cs="Arial"/>
          <w:color w:val="000000" w:themeColor="text1"/>
          <w:szCs w:val="20"/>
        </w:rPr>
        <w:t>-null PDCs with exogenous edge mutants)</w:t>
      </w:r>
      <w:r w:rsidR="00F02088" w:rsidRPr="00E86A87">
        <w:rPr>
          <w:rFonts w:ascii="Arial" w:hAnsi="Arial" w:cs="Arial"/>
          <w:color w:val="000000" w:themeColor="text1"/>
          <w:szCs w:val="20"/>
        </w:rPr>
        <w:t xml:space="preserve"> upon chemotactic stimuli</w:t>
      </w:r>
      <w:r w:rsidRPr="00E86A87">
        <w:rPr>
          <w:rFonts w:ascii="Arial" w:hAnsi="Arial" w:cs="Arial"/>
          <w:color w:val="000000" w:themeColor="text1"/>
          <w:szCs w:val="20"/>
        </w:rPr>
        <w:t>.</w:t>
      </w:r>
      <w:r>
        <w:rPr>
          <w:rFonts w:ascii="Arial" w:hAnsi="Arial" w:cs="Arial"/>
          <w:color w:val="000000" w:themeColor="text1"/>
          <w:szCs w:val="20"/>
        </w:rPr>
        <w:t xml:space="preserve"> </w:t>
      </w:r>
    </w:p>
    <w:p w14:paraId="041A56A9" w14:textId="094070AD" w:rsidR="00577C54" w:rsidRPr="00841CE5" w:rsidRDefault="00453452" w:rsidP="00841CE5">
      <w:pPr>
        <w:tabs>
          <w:tab w:val="left" w:pos="3315"/>
        </w:tabs>
        <w:spacing w:line="480" w:lineRule="auto"/>
        <w:rPr>
          <w:rFonts w:ascii="Arial" w:hAnsi="Arial" w:cs="Arial"/>
          <w:color w:val="000000" w:themeColor="text1"/>
          <w:szCs w:val="20"/>
        </w:rPr>
      </w:pPr>
      <w:r w:rsidRPr="00802CFC">
        <w:rPr>
          <w:rFonts w:ascii="Arial" w:hAnsi="Arial" w:cs="Arial"/>
          <w:b/>
          <w:bCs/>
          <w:color w:val="000000" w:themeColor="text1"/>
          <w:szCs w:val="20"/>
        </w:rPr>
        <w:t xml:space="preserve">Supplementary Figure </w:t>
      </w:r>
      <w:r w:rsidR="0007482F">
        <w:rPr>
          <w:rFonts w:ascii="Arial" w:hAnsi="Arial" w:cs="Arial"/>
          <w:b/>
          <w:bCs/>
          <w:color w:val="000000" w:themeColor="text1"/>
          <w:szCs w:val="20"/>
        </w:rPr>
        <w:t>S</w:t>
      </w:r>
      <w:r w:rsidR="00D774C4">
        <w:rPr>
          <w:rFonts w:ascii="Arial" w:hAnsi="Arial" w:cs="Arial"/>
          <w:b/>
          <w:bCs/>
          <w:color w:val="000000" w:themeColor="text1"/>
          <w:szCs w:val="20"/>
        </w:rPr>
        <w:t>10</w:t>
      </w:r>
      <w:r w:rsidRPr="00802CFC">
        <w:rPr>
          <w:rFonts w:ascii="Arial" w:hAnsi="Arial" w:cs="Arial"/>
          <w:b/>
          <w:bCs/>
          <w:color w:val="000000" w:themeColor="text1"/>
          <w:szCs w:val="20"/>
        </w:rPr>
        <w:t xml:space="preserve">. </w:t>
      </w:r>
      <w:r w:rsidR="00577C54" w:rsidRPr="00841CE5">
        <w:rPr>
          <w:rFonts w:ascii="Arial" w:hAnsi="Arial" w:cs="Arial"/>
          <w:color w:val="000000" w:themeColor="text1"/>
          <w:szCs w:val="20"/>
        </w:rPr>
        <w:t>Co-localization of PTEN edge mutants and F-actin at the leading edge of motile cells</w:t>
      </w:r>
      <w:r w:rsidR="00E86A87" w:rsidRPr="00841CE5">
        <w:rPr>
          <w:rFonts w:ascii="Arial" w:hAnsi="Arial" w:cs="Arial"/>
          <w:color w:val="000000" w:themeColor="text1"/>
          <w:szCs w:val="20"/>
        </w:rPr>
        <w:t xml:space="preserve"> (PDCs with endogenous edge mutants)</w:t>
      </w:r>
      <w:r w:rsidR="00577C54" w:rsidRPr="00841CE5">
        <w:rPr>
          <w:rFonts w:ascii="Arial" w:hAnsi="Arial" w:cs="Arial"/>
          <w:color w:val="000000" w:themeColor="text1"/>
          <w:szCs w:val="20"/>
        </w:rPr>
        <w:t xml:space="preserve"> upon chemotactic stimuli.</w:t>
      </w:r>
      <w:r w:rsidR="00577C54">
        <w:rPr>
          <w:rFonts w:ascii="Arial" w:hAnsi="Arial" w:cs="Arial"/>
          <w:color w:val="000000" w:themeColor="text1"/>
          <w:szCs w:val="20"/>
        </w:rPr>
        <w:t xml:space="preserve"> </w:t>
      </w:r>
    </w:p>
    <w:p w14:paraId="2E3AE01C" w14:textId="215D6B34" w:rsidR="00453452" w:rsidRPr="00802CFC" w:rsidRDefault="00577C54" w:rsidP="00453452">
      <w:pPr>
        <w:spacing w:line="480" w:lineRule="auto"/>
        <w:rPr>
          <w:rFonts w:ascii="Arial" w:hAnsi="Arial" w:cs="Arial"/>
          <w:color w:val="000000" w:themeColor="text1"/>
          <w:szCs w:val="20"/>
        </w:rPr>
      </w:pPr>
      <w:r>
        <w:rPr>
          <w:rFonts w:ascii="Arial" w:hAnsi="Arial" w:cs="Arial"/>
          <w:b/>
          <w:bCs/>
          <w:color w:val="000000" w:themeColor="text1"/>
          <w:szCs w:val="20"/>
        </w:rPr>
        <w:t xml:space="preserve">Supplementary Figure S11. </w:t>
      </w:r>
      <w:r w:rsidR="00453452" w:rsidRPr="00841CE5">
        <w:rPr>
          <w:rFonts w:ascii="Arial" w:hAnsi="Arial" w:cs="Arial"/>
          <w:color w:val="000000" w:themeColor="text1"/>
          <w:szCs w:val="20"/>
        </w:rPr>
        <w:t xml:space="preserve">Gene set enrichment </w:t>
      </w:r>
      <w:proofErr w:type="gramStart"/>
      <w:r w:rsidR="00453452" w:rsidRPr="00841CE5">
        <w:rPr>
          <w:rFonts w:ascii="Arial" w:hAnsi="Arial" w:cs="Arial"/>
          <w:color w:val="000000" w:themeColor="text1"/>
          <w:szCs w:val="20"/>
        </w:rPr>
        <w:t>analysis</w:t>
      </w:r>
      <w:r w:rsidR="00212A51">
        <w:rPr>
          <w:rFonts w:ascii="Arial" w:hAnsi="Arial" w:cs="Arial"/>
          <w:color w:val="000000" w:themeColor="text1"/>
          <w:szCs w:val="20"/>
        </w:rPr>
        <w:t>(</w:t>
      </w:r>
      <w:proofErr w:type="gramEnd"/>
      <w:r w:rsidR="00212A51">
        <w:rPr>
          <w:rFonts w:ascii="Arial" w:hAnsi="Arial" w:cs="Arial"/>
          <w:color w:val="000000" w:themeColor="text1"/>
          <w:szCs w:val="20"/>
        </w:rPr>
        <w:t>GSEA)</w:t>
      </w:r>
      <w:r w:rsidR="00453452" w:rsidRPr="00841CE5">
        <w:rPr>
          <w:rFonts w:ascii="Arial" w:hAnsi="Arial" w:cs="Arial"/>
          <w:color w:val="000000" w:themeColor="text1"/>
          <w:szCs w:val="20"/>
        </w:rPr>
        <w:t xml:space="preserve"> of GBM tumors with </w:t>
      </w:r>
      <w:r w:rsidR="00453452" w:rsidRPr="00841CE5">
        <w:rPr>
          <w:rFonts w:ascii="Arial" w:hAnsi="Arial" w:cs="Arial"/>
          <w:i/>
          <w:iCs/>
          <w:color w:val="000000" w:themeColor="text1"/>
          <w:szCs w:val="20"/>
        </w:rPr>
        <w:t>PTEN</w:t>
      </w:r>
      <w:r w:rsidR="00453452" w:rsidRPr="00841CE5">
        <w:rPr>
          <w:rFonts w:ascii="Arial" w:hAnsi="Arial" w:cs="Arial"/>
          <w:color w:val="000000" w:themeColor="text1"/>
          <w:szCs w:val="20"/>
        </w:rPr>
        <w:t xml:space="preserve"> edge mutations.</w:t>
      </w:r>
      <w:r w:rsidR="00453452" w:rsidRPr="00802CFC">
        <w:rPr>
          <w:rFonts w:ascii="Arial" w:hAnsi="Arial" w:cs="Arial"/>
          <w:b/>
          <w:bCs/>
          <w:color w:val="000000" w:themeColor="text1"/>
          <w:szCs w:val="20"/>
        </w:rPr>
        <w:t xml:space="preserve"> </w:t>
      </w:r>
      <w:r w:rsidR="00453452" w:rsidRPr="00802CFC">
        <w:rPr>
          <w:rFonts w:ascii="Arial" w:hAnsi="Arial" w:cs="Arial"/>
          <w:color w:val="000000" w:themeColor="text1"/>
          <w:szCs w:val="20"/>
        </w:rPr>
        <w:t>Screened genes</w:t>
      </w:r>
      <w:r w:rsidR="00212A51">
        <w:rPr>
          <w:rFonts w:ascii="Arial" w:hAnsi="Arial" w:cs="Arial"/>
          <w:color w:val="000000" w:themeColor="text1"/>
          <w:szCs w:val="20"/>
        </w:rPr>
        <w:t xml:space="preserve">, which </w:t>
      </w:r>
      <w:r w:rsidR="00453452" w:rsidRPr="00802CFC">
        <w:rPr>
          <w:rFonts w:ascii="Arial" w:hAnsi="Arial" w:cs="Arial"/>
          <w:color w:val="000000" w:themeColor="text1"/>
          <w:szCs w:val="20"/>
        </w:rPr>
        <w:t xml:space="preserve">significantly upregulated in GBM tumors with edge mutations compared to those with other types of </w:t>
      </w:r>
      <w:r w:rsidR="00453452" w:rsidRPr="00802CFC">
        <w:rPr>
          <w:rFonts w:ascii="Arial" w:hAnsi="Arial" w:cs="Arial"/>
          <w:i/>
          <w:iCs/>
          <w:color w:val="000000" w:themeColor="text1"/>
          <w:szCs w:val="20"/>
        </w:rPr>
        <w:t>PTEN</w:t>
      </w:r>
      <w:r w:rsidR="00453452" w:rsidRPr="00802CFC">
        <w:rPr>
          <w:rFonts w:ascii="Arial" w:hAnsi="Arial" w:cs="Arial"/>
          <w:color w:val="000000" w:themeColor="text1"/>
          <w:szCs w:val="20"/>
        </w:rPr>
        <w:t xml:space="preserve"> mutations</w:t>
      </w:r>
      <w:r w:rsidR="00212A51">
        <w:rPr>
          <w:rFonts w:ascii="Arial" w:hAnsi="Arial" w:cs="Arial"/>
          <w:color w:val="000000" w:themeColor="text1"/>
          <w:szCs w:val="20"/>
        </w:rPr>
        <w:t xml:space="preserve"> were used for GSEA</w:t>
      </w:r>
      <w:r w:rsidR="00453452" w:rsidRPr="00802CFC">
        <w:rPr>
          <w:rFonts w:ascii="Arial" w:hAnsi="Arial" w:cs="Arial"/>
          <w:color w:val="000000" w:themeColor="text1"/>
          <w:szCs w:val="20"/>
        </w:rPr>
        <w:t xml:space="preserve">. Several gene sets associated with cytoskeletal assembly, including intermediate filaments and microtubules, were identified as enriched genomic signatures in GBM tumors with edge mutations. </w:t>
      </w:r>
    </w:p>
    <w:p w14:paraId="23B46199" w14:textId="77777777" w:rsidR="00453452" w:rsidRPr="00C231EF" w:rsidRDefault="00453452" w:rsidP="00453452">
      <w:pPr>
        <w:spacing w:line="480" w:lineRule="auto"/>
        <w:rPr>
          <w:rFonts w:ascii="Arial" w:hAnsi="Arial" w:cs="Arial"/>
        </w:rPr>
      </w:pPr>
      <w:r w:rsidRPr="00802CFC">
        <w:rPr>
          <w:rFonts w:ascii="Arial" w:hAnsi="Arial" w:cs="Arial"/>
          <w:i/>
          <w:color w:val="000000" w:themeColor="text1"/>
          <w:szCs w:val="20"/>
        </w:rPr>
        <w:t>Abbreviation</w:t>
      </w:r>
      <w:r w:rsidRPr="00802CFC">
        <w:rPr>
          <w:rFonts w:ascii="Arial" w:hAnsi="Arial" w:cs="Arial"/>
          <w:color w:val="000000" w:themeColor="text1"/>
          <w:szCs w:val="20"/>
        </w:rPr>
        <w:t xml:space="preserve">: </w:t>
      </w:r>
      <w:r>
        <w:rPr>
          <w:rFonts w:ascii="Arial" w:hAnsi="Arial" w:cs="Arial"/>
          <w:color w:val="000000" w:themeColor="text1"/>
          <w:szCs w:val="20"/>
        </w:rPr>
        <w:t>FDR, false discovery rate</w:t>
      </w:r>
    </w:p>
    <w:p w14:paraId="5A10F2BD" w14:textId="17E66E4E" w:rsidR="00453452" w:rsidRPr="00802CFC" w:rsidRDefault="00453452" w:rsidP="00453452">
      <w:pPr>
        <w:spacing w:line="480" w:lineRule="auto"/>
        <w:rPr>
          <w:rFonts w:ascii="Arial" w:hAnsi="Arial" w:cs="Arial"/>
          <w:color w:val="000000" w:themeColor="text1"/>
          <w:szCs w:val="20"/>
        </w:rPr>
      </w:pPr>
      <w:r w:rsidRPr="00802CFC">
        <w:rPr>
          <w:rFonts w:ascii="Arial" w:hAnsi="Arial" w:cs="Arial"/>
          <w:b/>
          <w:color w:val="000000" w:themeColor="text1"/>
          <w:szCs w:val="20"/>
        </w:rPr>
        <w:t xml:space="preserve">Supplementary Figure </w:t>
      </w:r>
      <w:r w:rsidR="00E713CC">
        <w:rPr>
          <w:rFonts w:ascii="Arial" w:hAnsi="Arial" w:cs="Arial"/>
          <w:b/>
          <w:color w:val="000000" w:themeColor="text1"/>
          <w:szCs w:val="20"/>
        </w:rPr>
        <w:t>S1</w:t>
      </w:r>
      <w:r w:rsidR="00730FBB">
        <w:rPr>
          <w:rFonts w:ascii="Arial" w:hAnsi="Arial" w:cs="Arial"/>
          <w:b/>
          <w:color w:val="000000" w:themeColor="text1"/>
          <w:szCs w:val="20"/>
        </w:rPr>
        <w:t>2</w:t>
      </w:r>
      <w:r w:rsidRPr="00802CFC">
        <w:rPr>
          <w:rFonts w:ascii="Arial" w:hAnsi="Arial" w:cs="Arial"/>
          <w:color w:val="000000" w:themeColor="text1"/>
          <w:szCs w:val="20"/>
        </w:rPr>
        <w:t xml:space="preserve">. </w:t>
      </w:r>
      <w:r w:rsidRPr="00841CE5">
        <w:rPr>
          <w:rFonts w:ascii="Arial" w:hAnsi="Arial" w:cs="Arial"/>
          <w:color w:val="000000" w:themeColor="text1"/>
          <w:szCs w:val="20"/>
        </w:rPr>
        <w:t>Distribution of radiographic recurrence pattern</w:t>
      </w:r>
      <w:r w:rsidR="00212A51">
        <w:rPr>
          <w:rFonts w:ascii="Arial" w:hAnsi="Arial" w:cs="Arial"/>
          <w:color w:val="000000" w:themeColor="text1"/>
          <w:szCs w:val="20"/>
        </w:rPr>
        <w:t>s</w:t>
      </w:r>
      <w:r w:rsidRPr="00841CE5">
        <w:rPr>
          <w:rFonts w:ascii="Arial" w:hAnsi="Arial" w:cs="Arial"/>
          <w:color w:val="000000" w:themeColor="text1"/>
          <w:szCs w:val="20"/>
        </w:rPr>
        <w:t xml:space="preserve"> in GBM patients stratified by </w:t>
      </w:r>
      <w:r w:rsidRPr="00212A51">
        <w:rPr>
          <w:rFonts w:ascii="Arial" w:hAnsi="Arial" w:cs="Arial"/>
          <w:i/>
          <w:iCs/>
          <w:color w:val="000000" w:themeColor="text1"/>
          <w:szCs w:val="20"/>
        </w:rPr>
        <w:t>PTEN</w:t>
      </w:r>
      <w:r w:rsidRPr="00841CE5">
        <w:rPr>
          <w:rFonts w:ascii="Arial" w:hAnsi="Arial" w:cs="Arial"/>
          <w:color w:val="000000" w:themeColor="text1"/>
          <w:szCs w:val="20"/>
        </w:rPr>
        <w:t xml:space="preserve"> status.</w:t>
      </w:r>
      <w:r w:rsidRPr="00E86A87">
        <w:rPr>
          <w:rFonts w:ascii="Arial" w:hAnsi="Arial" w:cs="Arial"/>
          <w:color w:val="000000" w:themeColor="text1"/>
          <w:szCs w:val="20"/>
        </w:rPr>
        <w:t xml:space="preserve"> R</w:t>
      </w:r>
      <w:r w:rsidRPr="00802CFC">
        <w:rPr>
          <w:rFonts w:ascii="Arial" w:hAnsi="Arial" w:cs="Arial"/>
          <w:color w:val="000000" w:themeColor="text1"/>
          <w:szCs w:val="20"/>
        </w:rPr>
        <w:t>ight, recurrence pattern in PTEN-mutant GBM patients; Left, recurrence pattern in PTEN-wild-type GBM patients.</w:t>
      </w:r>
    </w:p>
    <w:p w14:paraId="573D136D" w14:textId="77777777" w:rsidR="00453452" w:rsidRPr="00802CFC" w:rsidRDefault="00453452" w:rsidP="00453452">
      <w:pPr>
        <w:spacing w:line="480" w:lineRule="auto"/>
        <w:rPr>
          <w:rFonts w:ascii="Arial" w:hAnsi="Arial" w:cs="Arial"/>
        </w:rPr>
      </w:pPr>
      <w:r w:rsidRPr="00802CFC">
        <w:rPr>
          <w:rFonts w:ascii="Arial" w:hAnsi="Arial" w:cs="Arial"/>
          <w:i/>
          <w:color w:val="000000" w:themeColor="text1"/>
          <w:szCs w:val="20"/>
        </w:rPr>
        <w:t>Abbreviation</w:t>
      </w:r>
      <w:r w:rsidRPr="00802CFC">
        <w:rPr>
          <w:rFonts w:ascii="Arial" w:hAnsi="Arial" w:cs="Arial"/>
          <w:color w:val="000000" w:themeColor="text1"/>
          <w:szCs w:val="20"/>
        </w:rPr>
        <w:t>: LMC, leptomeningeal see</w:t>
      </w:r>
    </w:p>
    <w:p w14:paraId="7BFF6734" w14:textId="77777777" w:rsidR="003E6341" w:rsidRDefault="003E6341"/>
    <w:sectPr w:rsidR="003E6341" w:rsidSect="00A40FF7">
      <w:pgSz w:w="11906" w:h="16838"/>
      <w:pgMar w:top="1440" w:right="1440" w:bottom="1701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C14F16" w14:textId="77777777" w:rsidR="00A242A1" w:rsidRDefault="00A242A1" w:rsidP="001F591E">
      <w:pPr>
        <w:spacing w:after="0" w:line="240" w:lineRule="auto"/>
      </w:pPr>
      <w:r>
        <w:separator/>
      </w:r>
    </w:p>
  </w:endnote>
  <w:endnote w:type="continuationSeparator" w:id="0">
    <w:p w14:paraId="40483F96" w14:textId="77777777" w:rsidR="00A242A1" w:rsidRDefault="00A242A1" w:rsidP="001F59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1D581B" w14:textId="77777777" w:rsidR="00A242A1" w:rsidRDefault="00A242A1" w:rsidP="001F591E">
      <w:pPr>
        <w:spacing w:after="0" w:line="240" w:lineRule="auto"/>
      </w:pPr>
      <w:r>
        <w:separator/>
      </w:r>
    </w:p>
  </w:footnote>
  <w:footnote w:type="continuationSeparator" w:id="0">
    <w:p w14:paraId="3BB2FF52" w14:textId="77777777" w:rsidR="00A242A1" w:rsidRDefault="00A242A1" w:rsidP="001F59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452"/>
    <w:rsid w:val="0007482F"/>
    <w:rsid w:val="000B49BC"/>
    <w:rsid w:val="000F7223"/>
    <w:rsid w:val="00104D23"/>
    <w:rsid w:val="001D1D3B"/>
    <w:rsid w:val="001D5D5E"/>
    <w:rsid w:val="001F591E"/>
    <w:rsid w:val="00212A51"/>
    <w:rsid w:val="002D1155"/>
    <w:rsid w:val="0030595F"/>
    <w:rsid w:val="003E6341"/>
    <w:rsid w:val="00453452"/>
    <w:rsid w:val="00577C54"/>
    <w:rsid w:val="005810CA"/>
    <w:rsid w:val="006112CA"/>
    <w:rsid w:val="00675A33"/>
    <w:rsid w:val="006A2CD3"/>
    <w:rsid w:val="00730E1B"/>
    <w:rsid w:val="00730FBB"/>
    <w:rsid w:val="00731104"/>
    <w:rsid w:val="00776844"/>
    <w:rsid w:val="00783D2B"/>
    <w:rsid w:val="007A4F20"/>
    <w:rsid w:val="00841CE5"/>
    <w:rsid w:val="00A0484F"/>
    <w:rsid w:val="00A242A1"/>
    <w:rsid w:val="00A51EE6"/>
    <w:rsid w:val="00BA5F51"/>
    <w:rsid w:val="00D60C2F"/>
    <w:rsid w:val="00D774C4"/>
    <w:rsid w:val="00D82F31"/>
    <w:rsid w:val="00DA6554"/>
    <w:rsid w:val="00DD7BF3"/>
    <w:rsid w:val="00DF30E0"/>
    <w:rsid w:val="00E713CC"/>
    <w:rsid w:val="00E86A87"/>
    <w:rsid w:val="00F02088"/>
    <w:rsid w:val="00F725AF"/>
    <w:rsid w:val="00F90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97D9C7"/>
  <w15:chartTrackingRefBased/>
  <w15:docId w15:val="{D8941124-4965-46BE-BEA5-755BDEA69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3452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F591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1F591E"/>
  </w:style>
  <w:style w:type="paragraph" w:styleId="a4">
    <w:name w:val="footer"/>
    <w:basedOn w:val="a"/>
    <w:link w:val="Char0"/>
    <w:uiPriority w:val="99"/>
    <w:unhideWhenUsed/>
    <w:rsid w:val="001F591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1F59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Choi Seungwon</dc:creator>
  <cp:keywords/>
  <dc:description/>
  <cp:lastModifiedBy>Choi Seungwon</cp:lastModifiedBy>
  <cp:revision>4</cp:revision>
  <dcterms:created xsi:type="dcterms:W3CDTF">2021-03-20T05:33:00Z</dcterms:created>
  <dcterms:modified xsi:type="dcterms:W3CDTF">2021-03-20T05:39:00Z</dcterms:modified>
</cp:coreProperties>
</file>