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286" w:rsidRPr="00474E3C" w:rsidRDefault="00A92286" w:rsidP="00A92286">
      <w:pPr>
        <w:spacing w:after="12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6C0A">
        <w:rPr>
          <w:rFonts w:ascii="Times New Roman" w:hAnsi="Times New Roman"/>
          <w:b/>
          <w:sz w:val="24"/>
          <w:szCs w:val="24"/>
        </w:rPr>
        <w:t>Supplementary figure 1.</w:t>
      </w:r>
      <w:r w:rsidRPr="00656C0A">
        <w:rPr>
          <w:rFonts w:ascii="Times New Roman" w:hAnsi="Times New Roman"/>
          <w:b/>
          <w:color w:val="000000"/>
          <w:sz w:val="24"/>
          <w:szCs w:val="24"/>
        </w:rPr>
        <w:t xml:space="preserve"> Different WT littermate controls challenged with low, medium and high IAV doses </w:t>
      </w:r>
      <w:r w:rsidRPr="00656C0A">
        <w:rPr>
          <w:rFonts w:ascii="Times New Roman" w:hAnsi="Times New Roman"/>
          <w:b/>
          <w:i/>
          <w:color w:val="000000"/>
          <w:sz w:val="24"/>
          <w:szCs w:val="24"/>
        </w:rPr>
        <w:t>in vivo:</w:t>
      </w:r>
      <w:r w:rsidRPr="00656C0A">
        <w:rPr>
          <w:rFonts w:ascii="Times New Roman" w:hAnsi="Times New Roman"/>
          <w:b/>
          <w:sz w:val="24"/>
          <w:szCs w:val="24"/>
        </w:rPr>
        <w:t xml:space="preserve"> </w:t>
      </w:r>
      <w:r w:rsidRPr="00656C0A">
        <w:rPr>
          <w:rFonts w:ascii="Times New Roman" w:hAnsi="Times New Roman"/>
          <w:sz w:val="24"/>
          <w:szCs w:val="24"/>
        </w:rPr>
        <w:t xml:space="preserve">Survival analysis of the different WT littermate controls used in this study: </w:t>
      </w:r>
      <w:r w:rsidRPr="00656C0A">
        <w:rPr>
          <w:rFonts w:ascii="Times New Roman" w:hAnsi="Times New Roman"/>
          <w:i/>
          <w:sz w:val="24"/>
          <w:szCs w:val="24"/>
        </w:rPr>
        <w:t>Ripk3</w:t>
      </w:r>
      <w:r w:rsidRPr="00656C0A">
        <w:rPr>
          <w:rFonts w:ascii="Times New Roman" w:hAnsi="Times New Roman"/>
          <w:i/>
          <w:sz w:val="24"/>
          <w:szCs w:val="24"/>
          <w:vertAlign w:val="superscript"/>
        </w:rPr>
        <w:t xml:space="preserve">+/+ </w:t>
      </w:r>
      <w:proofErr w:type="spellStart"/>
      <w:r w:rsidRPr="00656C0A">
        <w:rPr>
          <w:rFonts w:ascii="Times New Roman" w:hAnsi="Times New Roman"/>
          <w:i/>
          <w:sz w:val="24"/>
          <w:szCs w:val="24"/>
        </w:rPr>
        <w:t>Mlkl</w:t>
      </w:r>
      <w:proofErr w:type="spellEnd"/>
      <w:r w:rsidRPr="00656C0A">
        <w:rPr>
          <w:rFonts w:ascii="Times New Roman" w:hAnsi="Times New Roman"/>
          <w:i/>
          <w:sz w:val="24"/>
          <w:szCs w:val="24"/>
          <w:vertAlign w:val="superscript"/>
        </w:rPr>
        <w:t>+/+</w:t>
      </w:r>
      <w:r w:rsidRPr="00656C0A">
        <w:rPr>
          <w:rFonts w:ascii="Times New Roman" w:hAnsi="Times New Roman"/>
          <w:sz w:val="24"/>
          <w:szCs w:val="24"/>
        </w:rPr>
        <w:t xml:space="preserve">, </w:t>
      </w:r>
      <w:r w:rsidRPr="00656C0A">
        <w:rPr>
          <w:rFonts w:ascii="Times New Roman" w:hAnsi="Times New Roman"/>
          <w:i/>
          <w:sz w:val="24"/>
          <w:szCs w:val="24"/>
        </w:rPr>
        <w:t>Ripk3 KD-KI</w:t>
      </w:r>
      <w:r w:rsidRPr="00656C0A">
        <w:rPr>
          <w:rFonts w:ascii="Times New Roman" w:hAnsi="Times New Roman"/>
          <w:i/>
          <w:sz w:val="24"/>
          <w:szCs w:val="24"/>
          <w:vertAlign w:val="superscript"/>
        </w:rPr>
        <w:t>+/+,</w:t>
      </w:r>
      <w:r w:rsidRPr="00656C0A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656C0A">
        <w:rPr>
          <w:rFonts w:ascii="Times New Roman" w:hAnsi="Times New Roman"/>
          <w:sz w:val="24"/>
          <w:szCs w:val="24"/>
        </w:rPr>
        <w:t>and</w:t>
      </w:r>
      <w:r w:rsidRPr="00656C0A">
        <w:rPr>
          <w:rFonts w:ascii="Times New Roman" w:hAnsi="Times New Roman"/>
          <w:i/>
          <w:sz w:val="24"/>
          <w:szCs w:val="24"/>
        </w:rPr>
        <w:t xml:space="preserve"> Ripk3</w:t>
      </w:r>
      <w:r w:rsidRPr="00656C0A">
        <w:rPr>
          <w:rFonts w:ascii="Times New Roman" w:hAnsi="Times New Roman"/>
          <w:i/>
          <w:sz w:val="24"/>
          <w:szCs w:val="24"/>
          <w:vertAlign w:val="superscript"/>
        </w:rPr>
        <w:t xml:space="preserve">+/+ </w:t>
      </w:r>
      <w:proofErr w:type="spellStart"/>
      <w:r w:rsidRPr="00656C0A">
        <w:rPr>
          <w:rFonts w:ascii="Times New Roman" w:hAnsi="Times New Roman"/>
          <w:i/>
          <w:sz w:val="24"/>
          <w:szCs w:val="24"/>
        </w:rPr>
        <w:t>Fadd</w:t>
      </w:r>
      <w:proofErr w:type="spellEnd"/>
      <w:r w:rsidRPr="00656C0A">
        <w:rPr>
          <w:rFonts w:ascii="Times New Roman" w:hAnsi="Times New Roman"/>
          <w:i/>
          <w:sz w:val="24"/>
          <w:szCs w:val="24"/>
          <w:vertAlign w:val="superscript"/>
        </w:rPr>
        <w:t>+/+</w:t>
      </w:r>
      <w:r w:rsidRPr="00656C0A">
        <w:rPr>
          <w:rFonts w:ascii="Times New Roman" w:hAnsi="Times New Roman"/>
          <w:sz w:val="24"/>
          <w:szCs w:val="24"/>
        </w:rPr>
        <w:t>. Al mice were infected intranasally with IAV are shown: low dose: 0.1x LD</w:t>
      </w:r>
      <w:r w:rsidRPr="00656C0A">
        <w:rPr>
          <w:rFonts w:ascii="Times New Roman" w:hAnsi="Times New Roman"/>
          <w:sz w:val="24"/>
          <w:szCs w:val="24"/>
          <w:vertAlign w:val="subscript"/>
        </w:rPr>
        <w:t>50</w:t>
      </w:r>
      <w:r w:rsidRPr="00656C0A">
        <w:rPr>
          <w:rFonts w:ascii="Times New Roman" w:hAnsi="Times New Roman"/>
          <w:sz w:val="24"/>
          <w:szCs w:val="24"/>
        </w:rPr>
        <w:t>/8 pfu (</w:t>
      </w:r>
      <w:r w:rsidRPr="00656C0A">
        <w:rPr>
          <w:rFonts w:ascii="Times New Roman" w:hAnsi="Times New Roman"/>
          <w:b/>
          <w:sz w:val="24"/>
          <w:szCs w:val="24"/>
        </w:rPr>
        <w:t>A</w:t>
      </w:r>
      <w:r w:rsidRPr="00656C0A">
        <w:rPr>
          <w:rFonts w:ascii="Times New Roman" w:hAnsi="Times New Roman"/>
          <w:sz w:val="24"/>
          <w:szCs w:val="24"/>
        </w:rPr>
        <w:t>), medium dose: 0.2x LD</w:t>
      </w:r>
      <w:r w:rsidRPr="00656C0A">
        <w:rPr>
          <w:rFonts w:ascii="Times New Roman" w:hAnsi="Times New Roman"/>
          <w:sz w:val="24"/>
          <w:szCs w:val="24"/>
          <w:vertAlign w:val="subscript"/>
        </w:rPr>
        <w:t>50</w:t>
      </w:r>
      <w:r w:rsidRPr="00656C0A">
        <w:rPr>
          <w:rFonts w:ascii="Times New Roman" w:hAnsi="Times New Roman"/>
          <w:sz w:val="24"/>
          <w:szCs w:val="24"/>
        </w:rPr>
        <w:t>/16 pfu (</w:t>
      </w:r>
      <w:r w:rsidRPr="00656C0A">
        <w:rPr>
          <w:rFonts w:ascii="Times New Roman" w:hAnsi="Times New Roman"/>
          <w:b/>
          <w:sz w:val="24"/>
          <w:szCs w:val="24"/>
        </w:rPr>
        <w:t>B</w:t>
      </w:r>
      <w:r w:rsidRPr="00656C0A">
        <w:rPr>
          <w:rFonts w:ascii="Times New Roman" w:hAnsi="Times New Roman"/>
          <w:sz w:val="24"/>
          <w:szCs w:val="24"/>
        </w:rPr>
        <w:t>) and high dose: 0.5x LD</w:t>
      </w:r>
      <w:r w:rsidRPr="00656C0A">
        <w:rPr>
          <w:rFonts w:ascii="Times New Roman" w:hAnsi="Times New Roman"/>
          <w:sz w:val="24"/>
          <w:szCs w:val="24"/>
          <w:vertAlign w:val="subscript"/>
        </w:rPr>
        <w:t>50</w:t>
      </w:r>
      <w:r w:rsidRPr="00656C0A">
        <w:rPr>
          <w:rFonts w:ascii="Times New Roman" w:hAnsi="Times New Roman"/>
          <w:sz w:val="24"/>
          <w:szCs w:val="24"/>
        </w:rPr>
        <w:t>/40 pfu (</w:t>
      </w:r>
      <w:r w:rsidRPr="00656C0A">
        <w:rPr>
          <w:rFonts w:ascii="Times New Roman" w:hAnsi="Times New Roman"/>
          <w:b/>
          <w:sz w:val="24"/>
          <w:szCs w:val="24"/>
        </w:rPr>
        <w:t>C</w:t>
      </w:r>
      <w:r w:rsidRPr="00656C0A">
        <w:rPr>
          <w:rFonts w:ascii="Times New Roman" w:hAnsi="Times New Roman"/>
          <w:sz w:val="24"/>
          <w:szCs w:val="24"/>
        </w:rPr>
        <w:t>)</w:t>
      </w:r>
      <w:r w:rsidRPr="00656C0A">
        <w:rPr>
          <w:rFonts w:ascii="Times New Roman" w:hAnsi="Times New Roman"/>
          <w:b/>
          <w:sz w:val="24"/>
          <w:szCs w:val="24"/>
        </w:rPr>
        <w:t xml:space="preserve"> t</w:t>
      </w:r>
      <w:r w:rsidRPr="00656C0A">
        <w:rPr>
          <w:rFonts w:ascii="Times New Roman" w:hAnsi="Times New Roman"/>
          <w:sz w:val="24"/>
          <w:szCs w:val="24"/>
        </w:rPr>
        <w:t>ogether with their corresponding KO mice as shown in Figure 1A-4C. Survival curves were plotted for indicated groups and evaluated statistically according to Kaplan–Meier (GraphPad Prism 7), *p &lt; 0.05.</w:t>
      </w:r>
    </w:p>
    <w:p w:rsidR="00D04638" w:rsidRDefault="00D04638">
      <w:bookmarkStart w:id="0" w:name="_GoBack"/>
      <w:bookmarkEnd w:id="0"/>
    </w:p>
    <w:sectPr w:rsidR="00D04638" w:rsidSect="00181219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86"/>
    <w:rsid w:val="00A92286"/>
    <w:rsid w:val="00D0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CF7D9-3CAD-494F-88F0-AC0C96D2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228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92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Teodora-Eugenia Oltean</dc:creator>
  <cp:keywords/>
  <dc:description/>
  <cp:lastModifiedBy>Teodora-Eugenia Oltean</cp:lastModifiedBy>
  <cp:revision>1</cp:revision>
  <dcterms:created xsi:type="dcterms:W3CDTF">2021-04-19T15:21:00Z</dcterms:created>
  <dcterms:modified xsi:type="dcterms:W3CDTF">2021-04-19T15:21:00Z</dcterms:modified>
</cp:coreProperties>
</file>