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7350D" w14:textId="00D79880" w:rsidR="008F0448" w:rsidRPr="008018C1" w:rsidRDefault="008F0448" w:rsidP="008018C1">
      <w:pPr>
        <w:spacing w:line="480" w:lineRule="auto"/>
        <w:jc w:val="left"/>
        <w:rPr>
          <w:rFonts w:ascii="Times New Roman" w:hAnsi="Times New Roman" w:cs="Times New Roman"/>
          <w:b/>
          <w:sz w:val="22"/>
        </w:rPr>
      </w:pPr>
      <w:r w:rsidRPr="00071891">
        <w:rPr>
          <w:rFonts w:ascii="Times New Roman" w:hAnsi="Times New Roman" w:cs="Times New Roman" w:hint="eastAsia"/>
          <w:b/>
          <w:sz w:val="22"/>
        </w:rPr>
        <w:t xml:space="preserve">Supplementary </w:t>
      </w:r>
      <w:r w:rsidRPr="00071891">
        <w:rPr>
          <w:rFonts w:ascii="Times New Roman" w:hAnsi="Times New Roman" w:cs="Times New Roman"/>
          <w:b/>
          <w:sz w:val="22"/>
        </w:rPr>
        <w:t xml:space="preserve">Figures </w:t>
      </w:r>
      <w:r w:rsidRPr="00071891">
        <w:rPr>
          <w:rFonts w:ascii="Times New Roman" w:hAnsi="Times New Roman" w:cs="Times New Roman" w:hint="eastAsia"/>
          <w:b/>
          <w:sz w:val="22"/>
        </w:rPr>
        <w:t xml:space="preserve">and Figure </w:t>
      </w:r>
      <w:r w:rsidRPr="00071891">
        <w:rPr>
          <w:rFonts w:ascii="Times New Roman" w:hAnsi="Times New Roman" w:cs="Times New Roman"/>
          <w:b/>
          <w:sz w:val="22"/>
        </w:rPr>
        <w:t>legends</w:t>
      </w:r>
    </w:p>
    <w:p w14:paraId="5DE32252" w14:textId="6FAB01A8" w:rsidR="001C7853" w:rsidRDefault="001C7853" w:rsidP="001C7853">
      <w:pPr>
        <w:spacing w:line="480" w:lineRule="auto"/>
        <w:rPr>
          <w:rFonts w:ascii="Times New Roman" w:eastAsia="宋体" w:hAnsi="Times New Roman" w:cs="Times New Roman"/>
          <w:kern w:val="0"/>
          <w:sz w:val="22"/>
        </w:rPr>
      </w:pPr>
    </w:p>
    <w:p w14:paraId="0E6B7DE0" w14:textId="760A3DC9" w:rsidR="001C7853" w:rsidRPr="001C7853" w:rsidRDefault="0038086E" w:rsidP="001C7853">
      <w:pPr>
        <w:spacing w:line="480" w:lineRule="auto"/>
        <w:rPr>
          <w:rFonts w:ascii="Times New Roman" w:eastAsia="宋体" w:hAnsi="Times New Roman" w:cs="Times New Roman"/>
          <w:kern w:val="0"/>
          <w:sz w:val="22"/>
        </w:rPr>
      </w:pPr>
      <w:r>
        <w:rPr>
          <w:rFonts w:ascii="Times New Roman" w:eastAsia="宋体" w:hAnsi="Times New Roman" w:cs="Times New Roman"/>
          <w:noProof/>
          <w:kern w:val="0"/>
          <w:sz w:val="22"/>
        </w:rPr>
        <w:drawing>
          <wp:inline distT="0" distB="0" distL="0" distR="0" wp14:anchorId="01F14C6C" wp14:editId="3A4338F6">
            <wp:extent cx="5269992" cy="7027164"/>
            <wp:effectExtent l="0" t="0" r="698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69992" cy="7027164"/>
                    </a:xfrm>
                    <a:prstGeom prst="rect">
                      <a:avLst/>
                    </a:prstGeom>
                  </pic:spPr>
                </pic:pic>
              </a:graphicData>
            </a:graphic>
          </wp:inline>
        </w:drawing>
      </w:r>
    </w:p>
    <w:p w14:paraId="0D86EA71" w14:textId="5405AD03" w:rsidR="001B7D1E" w:rsidRDefault="008F0448" w:rsidP="008F0448">
      <w:pPr>
        <w:spacing w:line="480" w:lineRule="auto"/>
        <w:rPr>
          <w:rFonts w:ascii="Times New Roman" w:hAnsi="Times New Roman"/>
          <w:sz w:val="22"/>
        </w:rPr>
      </w:pPr>
      <w:r w:rsidRPr="00071891">
        <w:rPr>
          <w:rFonts w:ascii="Times New Roman" w:hAnsi="Times New Roman"/>
          <w:b/>
          <w:sz w:val="22"/>
        </w:rPr>
        <w:t xml:space="preserve">Supplementary </w:t>
      </w:r>
      <w:r w:rsidR="008A15A8" w:rsidRPr="00071891">
        <w:rPr>
          <w:rFonts w:ascii="Times New Roman" w:eastAsia="宋体" w:hAnsi="Times New Roman"/>
          <w:b/>
          <w:sz w:val="22"/>
        </w:rPr>
        <w:t>Fig</w:t>
      </w:r>
      <w:r w:rsidR="008A15A8" w:rsidRPr="00071891">
        <w:rPr>
          <w:rFonts w:ascii="Times New Roman" w:eastAsia="宋体" w:hAnsi="Times New Roman" w:hint="eastAsia"/>
          <w:b/>
          <w:sz w:val="22"/>
        </w:rPr>
        <w:t>ure</w:t>
      </w:r>
      <w:r w:rsidRPr="00071891">
        <w:rPr>
          <w:rFonts w:ascii="Times New Roman" w:hAnsi="Times New Roman"/>
          <w:b/>
          <w:sz w:val="22"/>
        </w:rPr>
        <w:t xml:space="preserve"> </w:t>
      </w:r>
      <w:r w:rsidR="0005295B">
        <w:rPr>
          <w:rFonts w:ascii="Times New Roman" w:hAnsi="Times New Roman"/>
          <w:b/>
          <w:sz w:val="22"/>
        </w:rPr>
        <w:t>1</w:t>
      </w:r>
      <w:r w:rsidRPr="00071891">
        <w:rPr>
          <w:rFonts w:ascii="Times New Roman" w:hAnsi="Times New Roman"/>
          <w:b/>
          <w:sz w:val="22"/>
        </w:rPr>
        <w:t>.</w:t>
      </w:r>
      <w:r w:rsidRPr="00071891">
        <w:rPr>
          <w:rFonts w:ascii="Times New Roman" w:hAnsi="Times New Roman" w:hint="eastAsia"/>
          <w:sz w:val="22"/>
        </w:rPr>
        <w:t xml:space="preserve"> </w:t>
      </w:r>
      <w:r w:rsidR="007865E1" w:rsidRPr="007865E1">
        <w:rPr>
          <w:rFonts w:ascii="Times New Roman" w:hAnsi="Times New Roman"/>
          <w:sz w:val="22"/>
        </w:rPr>
        <w:t xml:space="preserve">Enrichment analysis for the differentially expressed miRNAs in IL-1β stimulated chondrocytes. (A) The miRNA-mRNA network of 16 miRNAs and 159 mRNAs </w:t>
      </w:r>
      <w:r w:rsidR="007865E1" w:rsidRPr="007865E1">
        <w:rPr>
          <w:rFonts w:ascii="Times New Roman" w:hAnsi="Times New Roman"/>
          <w:sz w:val="22"/>
        </w:rPr>
        <w:lastRenderedPageBreak/>
        <w:t>differentially expressed in IL-1β stimulated chondrocytes. (B) Pathway enrichment analysis of miRNA targets. The size of the dots (gene count) corresponds to the number of genes (predicted targets of differentially expressed miRNAs) involved in each biological process. The color of the dots represents p value. (C) Gene Ontology (GO) enrichment analysis for miRNA targets. GO assessed the biological processes (BP), cellular component (CC), and molecular function (MF) of the miRNA target genes.</w:t>
      </w:r>
    </w:p>
    <w:p w14:paraId="45004D5A" w14:textId="5EE75865" w:rsidR="00AC270E" w:rsidRDefault="00AC270E" w:rsidP="008F0448">
      <w:pPr>
        <w:spacing w:line="480" w:lineRule="auto"/>
        <w:rPr>
          <w:rFonts w:ascii="Times New Roman" w:hAnsi="Times New Roman"/>
          <w:sz w:val="22"/>
        </w:rPr>
      </w:pPr>
    </w:p>
    <w:p w14:paraId="6C3701A4" w14:textId="0222DF9F" w:rsidR="0005295B" w:rsidRDefault="0038086E" w:rsidP="008F0448">
      <w:pPr>
        <w:spacing w:line="480" w:lineRule="auto"/>
        <w:rPr>
          <w:rFonts w:ascii="Times New Roman" w:hAnsi="Times New Roman"/>
          <w:sz w:val="22"/>
        </w:rPr>
      </w:pPr>
      <w:r>
        <w:rPr>
          <w:rFonts w:ascii="Times New Roman" w:hAnsi="Times New Roman"/>
          <w:noProof/>
          <w:sz w:val="22"/>
        </w:rPr>
        <w:lastRenderedPageBreak/>
        <w:drawing>
          <wp:inline distT="0" distB="0" distL="0" distR="0" wp14:anchorId="0EE98B37" wp14:editId="0F5621BA">
            <wp:extent cx="5269992" cy="7027164"/>
            <wp:effectExtent l="0" t="0" r="698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992" cy="7027164"/>
                    </a:xfrm>
                    <a:prstGeom prst="rect">
                      <a:avLst/>
                    </a:prstGeom>
                  </pic:spPr>
                </pic:pic>
              </a:graphicData>
            </a:graphic>
          </wp:inline>
        </w:drawing>
      </w:r>
    </w:p>
    <w:p w14:paraId="41471F40" w14:textId="2B0DE426" w:rsidR="00D8131E" w:rsidRDefault="0005295B" w:rsidP="00D8131E">
      <w:pPr>
        <w:spacing w:line="480" w:lineRule="auto"/>
        <w:rPr>
          <w:rFonts w:cs="Times New Roman"/>
        </w:rPr>
      </w:pPr>
      <w:r w:rsidRPr="00071891">
        <w:rPr>
          <w:rFonts w:ascii="Times New Roman" w:hAnsi="Times New Roman"/>
          <w:b/>
          <w:sz w:val="22"/>
        </w:rPr>
        <w:t xml:space="preserve">Supplementary </w:t>
      </w:r>
      <w:r w:rsidRPr="00071891">
        <w:rPr>
          <w:rFonts w:ascii="Times New Roman" w:eastAsia="宋体" w:hAnsi="Times New Roman"/>
          <w:b/>
          <w:sz w:val="22"/>
        </w:rPr>
        <w:t>Fig</w:t>
      </w:r>
      <w:r w:rsidRPr="00071891">
        <w:rPr>
          <w:rFonts w:ascii="Times New Roman" w:eastAsia="宋体" w:hAnsi="Times New Roman" w:hint="eastAsia"/>
          <w:b/>
          <w:sz w:val="22"/>
        </w:rPr>
        <w:t>ure</w:t>
      </w:r>
      <w:r w:rsidRPr="00071891">
        <w:rPr>
          <w:rFonts w:ascii="Times New Roman" w:hAnsi="Times New Roman"/>
          <w:b/>
          <w:sz w:val="22"/>
        </w:rPr>
        <w:t xml:space="preserve"> </w:t>
      </w:r>
      <w:r>
        <w:rPr>
          <w:rFonts w:ascii="Times New Roman" w:hAnsi="Times New Roman"/>
          <w:b/>
          <w:sz w:val="22"/>
        </w:rPr>
        <w:t>2</w:t>
      </w:r>
      <w:r w:rsidRPr="00071891">
        <w:rPr>
          <w:rFonts w:ascii="Times New Roman" w:hAnsi="Times New Roman"/>
          <w:b/>
          <w:sz w:val="22"/>
        </w:rPr>
        <w:t>.</w:t>
      </w:r>
      <w:r w:rsidRPr="00071891">
        <w:rPr>
          <w:rFonts w:ascii="Times New Roman" w:hAnsi="Times New Roman" w:hint="eastAsia"/>
          <w:sz w:val="22"/>
        </w:rPr>
        <w:t xml:space="preserve"> </w:t>
      </w:r>
      <w:r w:rsidRPr="00965A04">
        <w:rPr>
          <w:rFonts w:ascii="Times New Roman" w:hAnsi="Times New Roman"/>
          <w:sz w:val="22"/>
        </w:rPr>
        <w:t>Effect</w:t>
      </w:r>
      <w:r>
        <w:rPr>
          <w:rFonts w:ascii="Times New Roman" w:hAnsi="Times New Roman"/>
          <w:sz w:val="22"/>
        </w:rPr>
        <w:t xml:space="preserve"> </w:t>
      </w:r>
      <w:r>
        <w:rPr>
          <w:rFonts w:ascii="Times New Roman" w:hAnsi="Times New Roman" w:hint="eastAsia"/>
          <w:sz w:val="22"/>
        </w:rPr>
        <w:t>of</w:t>
      </w:r>
      <w:r w:rsidRPr="00965A04">
        <w:rPr>
          <w:rFonts w:ascii="Times New Roman" w:hAnsi="Times New Roman"/>
          <w:sz w:val="22"/>
        </w:rPr>
        <w:t xml:space="preserve"> up-regulated expression of miR-146a on treat</w:t>
      </w:r>
      <w:r>
        <w:rPr>
          <w:rFonts w:ascii="Times New Roman" w:hAnsi="Times New Roman"/>
          <w:sz w:val="22"/>
        </w:rPr>
        <w:t>ing</w:t>
      </w:r>
      <w:r w:rsidRPr="00965A04">
        <w:rPr>
          <w:rFonts w:ascii="Times New Roman" w:hAnsi="Times New Roman"/>
          <w:sz w:val="22"/>
        </w:rPr>
        <w:t xml:space="preserve"> naive chondrocytes</w:t>
      </w:r>
      <w:r>
        <w:rPr>
          <w:rFonts w:ascii="Times New Roman" w:hAnsi="Times New Roman"/>
          <w:sz w:val="22"/>
        </w:rPr>
        <w:t>.</w:t>
      </w:r>
      <w:r w:rsidRPr="00965A04">
        <w:rPr>
          <w:rFonts w:ascii="Times New Roman" w:hAnsi="Times New Roman"/>
          <w:sz w:val="22"/>
        </w:rPr>
        <w:t xml:space="preserve"> (A) </w:t>
      </w:r>
      <w:proofErr w:type="spellStart"/>
      <w:r w:rsidRPr="00965A04">
        <w:rPr>
          <w:rFonts w:ascii="Times New Roman" w:hAnsi="Times New Roman"/>
          <w:sz w:val="22"/>
        </w:rPr>
        <w:t>qRT</w:t>
      </w:r>
      <w:proofErr w:type="spellEnd"/>
      <w:r w:rsidRPr="00965A04">
        <w:rPr>
          <w:rFonts w:ascii="Times New Roman" w:hAnsi="Times New Roman"/>
          <w:sz w:val="22"/>
        </w:rPr>
        <w:t xml:space="preserve">-PCR for the expression of miRNA-146a. (B-D) </w:t>
      </w:r>
      <w:proofErr w:type="spellStart"/>
      <w:r w:rsidRPr="00965A04">
        <w:rPr>
          <w:rFonts w:ascii="Times New Roman" w:hAnsi="Times New Roman"/>
          <w:sz w:val="22"/>
        </w:rPr>
        <w:t>qRT</w:t>
      </w:r>
      <w:proofErr w:type="spellEnd"/>
      <w:r w:rsidRPr="00965A04">
        <w:rPr>
          <w:rFonts w:ascii="Times New Roman" w:hAnsi="Times New Roman"/>
          <w:sz w:val="22"/>
        </w:rPr>
        <w:t xml:space="preserve">-PCR for the expression levels of (B) </w:t>
      </w:r>
      <w:r w:rsidRPr="009E3CFB">
        <w:rPr>
          <w:rFonts w:ascii="Times New Roman" w:hAnsi="Times New Roman"/>
          <w:i/>
          <w:iCs/>
          <w:sz w:val="22"/>
        </w:rPr>
        <w:t xml:space="preserve">COL2A1 </w:t>
      </w:r>
      <w:r w:rsidRPr="009E3CFB">
        <w:rPr>
          <w:rFonts w:ascii="Times New Roman" w:hAnsi="Times New Roman"/>
          <w:sz w:val="22"/>
        </w:rPr>
        <w:t>and</w:t>
      </w:r>
      <w:r w:rsidRPr="009E3CFB">
        <w:rPr>
          <w:rFonts w:ascii="Times New Roman" w:hAnsi="Times New Roman"/>
          <w:i/>
          <w:iCs/>
          <w:sz w:val="22"/>
        </w:rPr>
        <w:t xml:space="preserve"> ACAN</w:t>
      </w:r>
      <w:r w:rsidRPr="00965A04">
        <w:rPr>
          <w:rFonts w:ascii="Times New Roman" w:hAnsi="Times New Roman"/>
          <w:sz w:val="22"/>
        </w:rPr>
        <w:t xml:space="preserve">, (C) </w:t>
      </w:r>
      <w:r w:rsidRPr="009E3CFB">
        <w:rPr>
          <w:rFonts w:ascii="Times New Roman" w:hAnsi="Times New Roman"/>
          <w:i/>
          <w:iCs/>
          <w:sz w:val="22"/>
        </w:rPr>
        <w:t>MMP13</w:t>
      </w:r>
      <w:r w:rsidRPr="00965A04">
        <w:rPr>
          <w:rFonts w:ascii="Times New Roman" w:hAnsi="Times New Roman"/>
          <w:sz w:val="22"/>
        </w:rPr>
        <w:t xml:space="preserve"> and </w:t>
      </w:r>
      <w:r w:rsidRPr="009E3CFB">
        <w:rPr>
          <w:rFonts w:ascii="Times New Roman" w:hAnsi="Times New Roman"/>
          <w:i/>
          <w:iCs/>
          <w:sz w:val="22"/>
        </w:rPr>
        <w:t>ADAMTS5</w:t>
      </w:r>
      <w:r w:rsidRPr="00965A04">
        <w:rPr>
          <w:rFonts w:ascii="Times New Roman" w:hAnsi="Times New Roman"/>
          <w:sz w:val="22"/>
        </w:rPr>
        <w:t xml:space="preserve"> mRNA and (D) </w:t>
      </w:r>
      <w:r w:rsidRPr="009E3CFB">
        <w:rPr>
          <w:rFonts w:ascii="Times New Roman" w:hAnsi="Times New Roman"/>
          <w:i/>
          <w:iCs/>
          <w:sz w:val="22"/>
        </w:rPr>
        <w:t>NRF2.</w:t>
      </w:r>
      <w:r w:rsidRPr="00965A04">
        <w:rPr>
          <w:rFonts w:ascii="Times New Roman" w:hAnsi="Times New Roman"/>
          <w:sz w:val="22"/>
        </w:rPr>
        <w:t xml:space="preserve"> (E-F) Western blot assay for the expression of (E) anabolism, catabolism and NRF2 proteins </w:t>
      </w:r>
      <w:r w:rsidRPr="00965A04">
        <w:rPr>
          <w:rFonts w:ascii="Times New Roman" w:hAnsi="Times New Roman"/>
          <w:sz w:val="22"/>
        </w:rPr>
        <w:lastRenderedPageBreak/>
        <w:t>and (F) quantification of the proteins. Values represent mean ± S.E.M of four replicas for RT-PCR experiments and three replicas for Western blot assays, respectiv</w:t>
      </w:r>
      <w:r w:rsidRPr="00D8131E">
        <w:rPr>
          <w:rFonts w:ascii="Times New Roman" w:hAnsi="Times New Roman" w:cs="Times New Roman"/>
          <w:sz w:val="22"/>
        </w:rPr>
        <w:t>ely.</w:t>
      </w:r>
      <w:r w:rsidR="00D8131E" w:rsidRPr="00D8131E">
        <w:rPr>
          <w:rFonts w:ascii="Times New Roman" w:hAnsi="Times New Roman" w:cs="Times New Roman"/>
        </w:rPr>
        <w:t xml:space="preserve"> (* </w:t>
      </w:r>
      <w:r w:rsidR="00D8131E" w:rsidRPr="00D8131E">
        <w:rPr>
          <w:rFonts w:ascii="Times New Roman" w:hAnsi="Times New Roman" w:cs="Times New Roman"/>
          <w:i/>
          <w:iCs/>
        </w:rPr>
        <w:t>p</w:t>
      </w:r>
      <w:r w:rsidR="00D8131E" w:rsidRPr="00D8131E">
        <w:rPr>
          <w:rFonts w:ascii="Times New Roman" w:hAnsi="Times New Roman" w:cs="Times New Roman"/>
        </w:rPr>
        <w:t xml:space="preserve"> &lt; 0.05 and ** </w:t>
      </w:r>
      <w:r w:rsidR="00D8131E" w:rsidRPr="00D8131E">
        <w:rPr>
          <w:rFonts w:ascii="Times New Roman" w:hAnsi="Times New Roman" w:cs="Times New Roman"/>
          <w:i/>
          <w:iCs/>
        </w:rPr>
        <w:t>p</w:t>
      </w:r>
      <w:r w:rsidR="00D8131E" w:rsidRPr="00D8131E">
        <w:rPr>
          <w:rFonts w:ascii="Times New Roman" w:hAnsi="Times New Roman" w:cs="Times New Roman"/>
        </w:rPr>
        <w:t xml:space="preserve"> &lt; 0.01; between the indicated groups and </w:t>
      </w:r>
      <w:r w:rsidR="00D8131E" w:rsidRPr="00D8131E">
        <w:rPr>
          <w:rFonts w:ascii="Times New Roman" w:hAnsi="Times New Roman" w:cs="Times New Roman"/>
          <w:vertAlign w:val="superscript"/>
        </w:rPr>
        <w:t>#</w:t>
      </w:r>
      <w:r w:rsidR="00D8131E" w:rsidRPr="00D8131E">
        <w:rPr>
          <w:rFonts w:ascii="Times New Roman" w:hAnsi="Times New Roman" w:cs="Times New Roman"/>
        </w:rPr>
        <w:t xml:space="preserve"> </w:t>
      </w:r>
      <w:r w:rsidR="00D8131E" w:rsidRPr="00D8131E">
        <w:rPr>
          <w:rFonts w:ascii="Times New Roman" w:hAnsi="Times New Roman" w:cs="Times New Roman"/>
          <w:i/>
          <w:iCs/>
        </w:rPr>
        <w:t>p</w:t>
      </w:r>
      <w:r w:rsidR="00D8131E" w:rsidRPr="00D8131E">
        <w:rPr>
          <w:rFonts w:ascii="Times New Roman" w:hAnsi="Times New Roman" w:cs="Times New Roman"/>
        </w:rPr>
        <w:t xml:space="preserve"> &lt; 0.05 or </w:t>
      </w:r>
      <w:r w:rsidR="00D8131E" w:rsidRPr="00D8131E">
        <w:rPr>
          <w:rFonts w:ascii="Times New Roman" w:hAnsi="Times New Roman" w:cs="Times New Roman"/>
          <w:vertAlign w:val="superscript"/>
        </w:rPr>
        <w:t xml:space="preserve">## </w:t>
      </w:r>
      <w:r w:rsidR="00D8131E" w:rsidRPr="00D8131E">
        <w:rPr>
          <w:rFonts w:ascii="Times New Roman" w:hAnsi="Times New Roman" w:cs="Times New Roman"/>
          <w:i/>
          <w:iCs/>
        </w:rPr>
        <w:t>p</w:t>
      </w:r>
      <w:r w:rsidR="00D8131E" w:rsidRPr="00D8131E">
        <w:rPr>
          <w:rFonts w:ascii="Times New Roman" w:hAnsi="Times New Roman" w:cs="Times New Roman"/>
        </w:rPr>
        <w:t xml:space="preserve"> &lt; 0.01 versus the CTRL group).</w:t>
      </w:r>
    </w:p>
    <w:p w14:paraId="5B1D5698" w14:textId="77777777" w:rsidR="0005295B" w:rsidRPr="0005295B" w:rsidRDefault="0005295B" w:rsidP="008F0448">
      <w:pPr>
        <w:spacing w:line="480" w:lineRule="auto"/>
        <w:rPr>
          <w:rFonts w:ascii="Times New Roman" w:hAnsi="Times New Roman"/>
          <w:sz w:val="22"/>
        </w:rPr>
      </w:pPr>
    </w:p>
    <w:sectPr w:rsidR="0005295B" w:rsidRPr="000529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4D212" w14:textId="77777777" w:rsidR="00EA3028" w:rsidRDefault="00EA3028" w:rsidP="008A15A8">
      <w:r>
        <w:separator/>
      </w:r>
    </w:p>
  </w:endnote>
  <w:endnote w:type="continuationSeparator" w:id="0">
    <w:p w14:paraId="5C1C14A8" w14:textId="77777777" w:rsidR="00EA3028" w:rsidRDefault="00EA3028" w:rsidP="008A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AE8C2" w14:textId="77777777" w:rsidR="00EA3028" w:rsidRDefault="00EA3028" w:rsidP="008A15A8">
      <w:r>
        <w:separator/>
      </w:r>
    </w:p>
  </w:footnote>
  <w:footnote w:type="continuationSeparator" w:id="0">
    <w:p w14:paraId="453C27D7" w14:textId="77777777" w:rsidR="00EA3028" w:rsidRDefault="00EA3028" w:rsidP="008A15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48"/>
    <w:rsid w:val="00051024"/>
    <w:rsid w:val="0005295B"/>
    <w:rsid w:val="00071891"/>
    <w:rsid w:val="00105E01"/>
    <w:rsid w:val="001373B2"/>
    <w:rsid w:val="001A3DEB"/>
    <w:rsid w:val="001B7D1E"/>
    <w:rsid w:val="001C38B1"/>
    <w:rsid w:val="001C7853"/>
    <w:rsid w:val="00244DDB"/>
    <w:rsid w:val="002F44E2"/>
    <w:rsid w:val="00304377"/>
    <w:rsid w:val="00361214"/>
    <w:rsid w:val="0038086E"/>
    <w:rsid w:val="003C7DA1"/>
    <w:rsid w:val="003D29C7"/>
    <w:rsid w:val="003E147E"/>
    <w:rsid w:val="003F1443"/>
    <w:rsid w:val="00450E81"/>
    <w:rsid w:val="004C2A4C"/>
    <w:rsid w:val="005A1A21"/>
    <w:rsid w:val="005C1CAA"/>
    <w:rsid w:val="005C775A"/>
    <w:rsid w:val="006118B0"/>
    <w:rsid w:val="00622826"/>
    <w:rsid w:val="00636485"/>
    <w:rsid w:val="00644912"/>
    <w:rsid w:val="006A12FA"/>
    <w:rsid w:val="006A1EB5"/>
    <w:rsid w:val="006B0FEF"/>
    <w:rsid w:val="00763D85"/>
    <w:rsid w:val="007719B8"/>
    <w:rsid w:val="007845A2"/>
    <w:rsid w:val="007865E1"/>
    <w:rsid w:val="007A2E8B"/>
    <w:rsid w:val="007E3995"/>
    <w:rsid w:val="007E39BA"/>
    <w:rsid w:val="008018C1"/>
    <w:rsid w:val="00825BBE"/>
    <w:rsid w:val="00862438"/>
    <w:rsid w:val="008A15A8"/>
    <w:rsid w:val="008F0448"/>
    <w:rsid w:val="00965A04"/>
    <w:rsid w:val="009E3CFB"/>
    <w:rsid w:val="00AC270E"/>
    <w:rsid w:val="00AD1E0F"/>
    <w:rsid w:val="00AF7703"/>
    <w:rsid w:val="00B37A16"/>
    <w:rsid w:val="00BA26B2"/>
    <w:rsid w:val="00BD533F"/>
    <w:rsid w:val="00C179D4"/>
    <w:rsid w:val="00CE62C0"/>
    <w:rsid w:val="00CF6E76"/>
    <w:rsid w:val="00D8131E"/>
    <w:rsid w:val="00EA3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00230"/>
  <w15:chartTrackingRefBased/>
  <w15:docId w15:val="{3928293B-64C3-4783-8EC1-D0D774876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4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15A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15A8"/>
    <w:rPr>
      <w:sz w:val="18"/>
      <w:szCs w:val="18"/>
    </w:rPr>
  </w:style>
  <w:style w:type="paragraph" w:styleId="a5">
    <w:name w:val="footer"/>
    <w:basedOn w:val="a"/>
    <w:link w:val="a6"/>
    <w:uiPriority w:val="99"/>
    <w:unhideWhenUsed/>
    <w:rsid w:val="008A15A8"/>
    <w:pPr>
      <w:tabs>
        <w:tab w:val="center" w:pos="4153"/>
        <w:tab w:val="right" w:pos="8306"/>
      </w:tabs>
      <w:snapToGrid w:val="0"/>
      <w:jc w:val="left"/>
    </w:pPr>
    <w:rPr>
      <w:sz w:val="18"/>
      <w:szCs w:val="18"/>
    </w:rPr>
  </w:style>
  <w:style w:type="character" w:customStyle="1" w:styleId="a6">
    <w:name w:val="页脚 字符"/>
    <w:basedOn w:val="a0"/>
    <w:link w:val="a5"/>
    <w:uiPriority w:val="99"/>
    <w:rsid w:val="008A15A8"/>
    <w:rPr>
      <w:sz w:val="18"/>
      <w:szCs w:val="18"/>
    </w:rPr>
  </w:style>
  <w:style w:type="paragraph" w:styleId="a7">
    <w:name w:val="Balloon Text"/>
    <w:basedOn w:val="a"/>
    <w:link w:val="a8"/>
    <w:uiPriority w:val="99"/>
    <w:semiHidden/>
    <w:unhideWhenUsed/>
    <w:rsid w:val="00CF6E76"/>
    <w:rPr>
      <w:sz w:val="18"/>
      <w:szCs w:val="18"/>
    </w:rPr>
  </w:style>
  <w:style w:type="character" w:customStyle="1" w:styleId="a8">
    <w:name w:val="批注框文本 字符"/>
    <w:basedOn w:val="a0"/>
    <w:link w:val="a7"/>
    <w:uiPriority w:val="99"/>
    <w:semiHidden/>
    <w:rsid w:val="00CF6E76"/>
    <w:rPr>
      <w:sz w:val="18"/>
      <w:szCs w:val="18"/>
    </w:rPr>
  </w:style>
  <w:style w:type="character" w:styleId="a9">
    <w:name w:val="annotation reference"/>
    <w:basedOn w:val="a0"/>
    <w:uiPriority w:val="99"/>
    <w:semiHidden/>
    <w:unhideWhenUsed/>
    <w:rsid w:val="00CF6E76"/>
    <w:rPr>
      <w:sz w:val="21"/>
      <w:szCs w:val="21"/>
    </w:rPr>
  </w:style>
  <w:style w:type="paragraph" w:styleId="aa">
    <w:name w:val="annotation text"/>
    <w:basedOn w:val="a"/>
    <w:link w:val="ab"/>
    <w:uiPriority w:val="99"/>
    <w:semiHidden/>
    <w:unhideWhenUsed/>
    <w:rsid w:val="00CF6E76"/>
    <w:pPr>
      <w:jc w:val="left"/>
    </w:pPr>
  </w:style>
  <w:style w:type="character" w:customStyle="1" w:styleId="ab">
    <w:name w:val="批注文字 字符"/>
    <w:basedOn w:val="a0"/>
    <w:link w:val="aa"/>
    <w:uiPriority w:val="99"/>
    <w:semiHidden/>
    <w:rsid w:val="00CF6E76"/>
  </w:style>
  <w:style w:type="paragraph" w:styleId="ac">
    <w:name w:val="annotation subject"/>
    <w:basedOn w:val="aa"/>
    <w:next w:val="aa"/>
    <w:link w:val="ad"/>
    <w:uiPriority w:val="99"/>
    <w:semiHidden/>
    <w:unhideWhenUsed/>
    <w:rsid w:val="00CF6E76"/>
    <w:rPr>
      <w:b/>
      <w:bCs/>
    </w:rPr>
  </w:style>
  <w:style w:type="character" w:customStyle="1" w:styleId="ad">
    <w:name w:val="批注主题 字符"/>
    <w:basedOn w:val="ab"/>
    <w:link w:val="ac"/>
    <w:uiPriority w:val="99"/>
    <w:semiHidden/>
    <w:rsid w:val="00CF6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200</Words>
  <Characters>1141</Characters>
  <Application>Microsoft Office Word</Application>
  <DocSecurity>0</DocSecurity>
  <Lines>9</Lines>
  <Paragraphs>2</Paragraphs>
  <ScaleCrop>false</ScaleCrop>
  <Company>Windows 10</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 He</dc:creator>
  <cp:keywords/>
  <dc:description/>
  <cp:lastModifiedBy>张 一健</cp:lastModifiedBy>
  <cp:revision>2</cp:revision>
  <dcterms:created xsi:type="dcterms:W3CDTF">2021-03-18T07:19:00Z</dcterms:created>
  <dcterms:modified xsi:type="dcterms:W3CDTF">2021-03-18T07:19:00Z</dcterms:modified>
</cp:coreProperties>
</file>